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72C2D" w14:textId="1F73EE79" w:rsidR="00C932DC" w:rsidRPr="0014195C" w:rsidRDefault="00C932DC" w:rsidP="00C932DC">
      <w:pPr>
        <w:jc w:val="center"/>
        <w:rPr>
          <w:b/>
          <w:bCs/>
        </w:rPr>
      </w:pPr>
      <w:r w:rsidRPr="0014195C">
        <w:rPr>
          <w:b/>
          <w:bCs/>
        </w:rPr>
        <w:t>THE PARADOX OF AI ADOPTION IN EMERGING ECONOMIES: A STRUCTURAL EQUATION ANALYSIS OF USAGE INTENSITY AND SME PERFORMANCE</w:t>
      </w:r>
    </w:p>
    <w:p w14:paraId="55E6A8DE" w14:textId="36275EFD" w:rsidR="00C932DC" w:rsidRPr="0014195C" w:rsidRDefault="00C932DC" w:rsidP="00C932DC">
      <w:pPr>
        <w:jc w:val="center"/>
        <w:rPr>
          <w:b/>
          <w:bCs/>
        </w:rPr>
      </w:pPr>
      <w:r w:rsidRPr="0014195C">
        <w:rPr>
          <w:b/>
          <w:bCs/>
        </w:rPr>
        <w:t>Evidence from Micro, Small and Medium Enterprises in Jakarta, Indonesia</w:t>
      </w:r>
    </w:p>
    <w:p w14:paraId="2199DB64" w14:textId="77777777" w:rsidR="00C15D73" w:rsidRDefault="00C15D73"/>
    <w:p w14:paraId="64FDE3BC" w14:textId="77777777" w:rsidR="00C932DC" w:rsidRDefault="00C932DC"/>
    <w:p w14:paraId="53B7C563" w14:textId="77777777" w:rsidR="00C932DC" w:rsidRPr="00C932DC" w:rsidRDefault="00C932DC" w:rsidP="00C932DC"/>
    <w:p w14:paraId="4C1C55A2" w14:textId="77777777" w:rsidR="00C932DC" w:rsidRPr="00C932DC" w:rsidRDefault="00C932DC" w:rsidP="00C932DC"/>
    <w:p w14:paraId="760E0C8D" w14:textId="77777777" w:rsidR="00C932DC" w:rsidRPr="00C932DC" w:rsidRDefault="00C932DC" w:rsidP="00C932DC">
      <w:pPr>
        <w:rPr>
          <w:b/>
          <w:bCs/>
        </w:rPr>
      </w:pPr>
      <w:r w:rsidRPr="00C932DC">
        <w:rPr>
          <w:b/>
          <w:bCs/>
        </w:rPr>
        <w:t xml:space="preserve">ABSTRACT </w:t>
      </w:r>
    </w:p>
    <w:p w14:paraId="14048239" w14:textId="77777777" w:rsidR="00C932DC" w:rsidRPr="00C932DC" w:rsidRDefault="00C932DC" w:rsidP="009F63FE">
      <w:pPr>
        <w:jc w:val="both"/>
      </w:pPr>
      <w:r w:rsidRPr="00C932DC">
        <w:t xml:space="preserve">Objective: The DKI Jakarta government program targets 80% of MSMEs to go digital by 2025, but empirical evidence on whether the use of artificial intelligence (AI) actually improves business performance is still inconsistent, especially in developing countries. This study examines the relationship between AI usage intensity and business performance by including company size variation as a contingency condition. </w:t>
      </w:r>
    </w:p>
    <w:p w14:paraId="0C048812" w14:textId="77777777" w:rsidR="00C932DC" w:rsidRPr="00C932DC" w:rsidRDefault="00C932DC" w:rsidP="009F63FE">
      <w:pPr>
        <w:jc w:val="both"/>
      </w:pPr>
      <w:r w:rsidRPr="00C932DC">
        <w:t xml:space="preserve">Method: A quantitative approach was used, with data collected from 300 MSME owners/managers in five administrative areas of DKI Jakarta (Central, North, South, East, West Jakarta) who had adopted at least one AI tool (e.g., ChatGPT, Meta Ads, inventory bot) in the last three months. The Technology Acceptance Model (TAM) was expanded with the construct of company size (micro, small, medium). Structural Equation Modeling (SEM) maximum likelihood analysis was used with the Full-Information Maximum Likelihood (FIML) feature to handle missing data. </w:t>
      </w:r>
    </w:p>
    <w:p w14:paraId="24E4D955" w14:textId="77777777" w:rsidR="00C932DC" w:rsidRPr="00C932DC" w:rsidRDefault="00C932DC" w:rsidP="009F63FE">
      <w:pPr>
        <w:jc w:val="both"/>
      </w:pPr>
      <w:r w:rsidRPr="00C932DC">
        <w:t xml:space="preserve">Results: The model showed excellent fit (χ²/df = 1.13; CFI = 0.993; RMSEA = 0.021; SRMR = 0.018). Surprisingly, AI usage intensity did not significantly affect business performance (β = 0.085; p = 0.113). Company size had a strong direct effect on performance; small companies had an indirect effect on performance through AI usage, while medium-sized companies did not show a significant effect on that pathway. The mediating effect of AI usage was insignificant on both measures. </w:t>
      </w:r>
    </w:p>
    <w:p w14:paraId="7A724D98" w14:textId="77777777" w:rsidR="00C932DC" w:rsidRPr="00C932DC" w:rsidRDefault="00C932DC" w:rsidP="009F63FE">
      <w:pPr>
        <w:jc w:val="both"/>
      </w:pPr>
      <w:r w:rsidRPr="00C932DC">
        <w:t xml:space="preserve">Implications: The “adoption without impact” paradox indicates that the availability of complementary resources (dynamic capabilities, digital infrastructure, human resource skills) is the main determinant of AI value creation. Policy programs need to integrate management training and infrastructure funding, not just provide access to technology. </w:t>
      </w:r>
    </w:p>
    <w:p w14:paraId="0E17B782" w14:textId="77777777" w:rsidR="00C932DC" w:rsidRPr="00C932DC" w:rsidRDefault="00C932DC" w:rsidP="009F63FE">
      <w:pPr>
        <w:jc w:val="both"/>
      </w:pPr>
      <w:r w:rsidRPr="00C932DC">
        <w:t xml:space="preserve">Originality – This study is the first quantitative test to show the insignificant effect of AI use on the performance of SMEs in ASEAN using a contingency SEM-TAM approach. </w:t>
      </w:r>
    </w:p>
    <w:p w14:paraId="3EE7B04C" w14:textId="77777777" w:rsidR="00C932DC" w:rsidRPr="00C932DC" w:rsidRDefault="00C932DC" w:rsidP="00C932DC">
      <w:r w:rsidRPr="00C932DC">
        <w:rPr>
          <w:b/>
          <w:bCs/>
        </w:rPr>
        <w:t>Keywords:</w:t>
      </w:r>
      <w:r w:rsidRPr="00C932DC">
        <w:t xml:space="preserve"> artificial intelligence, SMEs, TAM, SEM, emerging economy, Jakarta </w:t>
      </w:r>
    </w:p>
    <w:p w14:paraId="2A9764B2" w14:textId="77777777" w:rsidR="00C932DC" w:rsidRDefault="00C932DC"/>
    <w:p w14:paraId="3E3BDADF" w14:textId="77777777" w:rsidR="00C932DC" w:rsidRPr="00C932DC" w:rsidRDefault="00C932DC" w:rsidP="00C932DC">
      <w:pPr>
        <w:rPr>
          <w:b/>
          <w:bCs/>
        </w:rPr>
      </w:pPr>
      <w:r w:rsidRPr="00C932DC">
        <w:rPr>
          <w:b/>
          <w:bCs/>
        </w:rPr>
        <w:t xml:space="preserve">1. INTRODUCTION  </w:t>
      </w:r>
    </w:p>
    <w:p w14:paraId="194880E5" w14:textId="77777777" w:rsidR="00C932DC" w:rsidRDefault="00C932DC" w:rsidP="00C932DC">
      <w:pPr>
        <w:jc w:val="both"/>
      </w:pPr>
      <w:r>
        <w:t xml:space="preserve">Jakarta contributes 17.2% of the national GDP and is home to 495,000 micro, small, and medium enterprises (MSMEs) (BPS-DKI Jakarta, 2023). The DKI Jakarta government launched the Jakarta Smart City &amp; SME Digital Leap 2025 program, which targets 80% of MSMEs to adopt digital technology, including artificial intelligence (AI), to increase competitiveness. However, Jakarta's MSME AI readiness index (42%) </w:t>
      </w:r>
      <w:r>
        <w:lastRenderedPageBreak/>
        <w:t>is still far below Singapore (71%) and Malaysia (58%) (ASEAN, 2023). This readiness gap raises an important question: does the adoption and use of AI really improve MSME business performance, or does it create an “adoption paradox” in resource-constrained environments?</w:t>
      </w:r>
    </w:p>
    <w:p w14:paraId="0D85898A" w14:textId="77777777" w:rsidR="00C932DC" w:rsidRDefault="00C932DC" w:rsidP="00C932DC">
      <w:pPr>
        <w:jc w:val="both"/>
      </w:pPr>
      <w:r>
        <w:t>Global evidence provides mixed results. The OECD (2021) shows that AI can increase the productivity of manufacturing SMEs by 15–25% in developed countries, but only when supported by adequate analytical capabilities and data infrastructure. This indicates that technology alone is not enough; the quality of complementary resources determines value creation. In developing countries, the uneven distribution of digital infrastructure increases the risk that AI adoption will not automatically lead to improved performance.</w:t>
      </w:r>
    </w:p>
    <w:p w14:paraId="56FA3D63" w14:textId="77777777" w:rsidR="00C932DC" w:rsidRDefault="00C932DC" w:rsidP="00C932DC">
      <w:pPr>
        <w:jc w:val="both"/>
      </w:pPr>
      <w:r>
        <w:t>The classic Technology Acceptance Model (TAM) (Davis, 1989) explains adoption behavior through perceived usefulness and perceived ease of use, which influence behavioral intention and ultimately actual use. However, the majority of research stops at the intention level, without testing whether the intensity of actual use is related to organizational performance. A meta-analysis by Dwivedi et al. (2023) of 147 articles found that only 37% of studies tested the relationship between actual use and performance. This confirms a methodological gap in the post-adoption TAM literature, particularly regarding the role of actual technology use in creating business value.</w:t>
      </w:r>
    </w:p>
    <w:p w14:paraId="5911D907" w14:textId="77777777" w:rsidR="00C932DC" w:rsidRDefault="00C932DC" w:rsidP="00C932DC">
      <w:pPr>
        <w:jc w:val="both"/>
      </w:pPr>
      <w:r>
        <w:t>The context of MSMEs in Jakarta reinforces the urgency to examine this gap. According to the Resource-Based View (RBV), technology only creates competitive advantage when combined with complementary assets that are rare and difficult to imitate (Barney, 1991; UNCTAD, 2021). In practice, many micro and small MSMEs in Jakarta face limitations in capital, internet bandwidth, and analytical skills. A survey by the Jakarta Cooperative and SME Agency (2023) found that 46% of SMEs still operate with internet speeds of &lt;10 Mbps, and 63% do not have data backup procedures. Without adequate infrastructure, the intensity of AI use is often not translated into task-technology fit that is relevant to business processes (Goodhue &amp; Thompson, 1995).</w:t>
      </w:r>
    </w:p>
    <w:p w14:paraId="1CBFC81F" w14:textId="77777777" w:rsidR="00C932DC" w:rsidRDefault="00C932DC" w:rsidP="00C932DC">
      <w:pPr>
        <w:jc w:val="both"/>
      </w:pPr>
      <w:r>
        <w:t>Previous research in various countries highlights similar findings. Badghish &amp; Soomro (2024) show that AI adoption only improves the sustainable performance of Saudi SMEs when combined with managerial dynamic capabilities. Hansen &amp; Bøgh (2021) found that Danish manufacturing SMEs that implemented AI–IoT only succeeded in reducing defect rates if they already had lean process knowledge. Venkatesh (2022) also emphasizes that organizational factors and managerial interventions (e.g., training, incentives) influence whether AI use actually has an impact, so that intensive use without adequate absorptive capacity tends not to produce performance.</w:t>
      </w:r>
    </w:p>
    <w:p w14:paraId="046D1A4B" w14:textId="77777777" w:rsidR="00C932DC" w:rsidRDefault="00C932DC" w:rsidP="00C932DC">
      <w:pPr>
        <w:jc w:val="both"/>
      </w:pPr>
      <w:r>
        <w:t>The OECD meta-analysis literature (2022) even shows that the effect of AI on productivity is size-dependent: micro and small MSMEs need external support mechanisms (subsidies, mentoring, training) for AI adoption to be effective. Conversely, medium MSMEs have higher absorptive capacity because they are able to build data pipelines and cross-functional teams. Thus, company size has the potential to be an important contingency factor that moderates the relationship between AI usage intensity and business performance.</w:t>
      </w:r>
    </w:p>
    <w:p w14:paraId="6896583B" w14:textId="77777777" w:rsidR="00C932DC" w:rsidRDefault="00C932DC" w:rsidP="00C932DC">
      <w:pPr>
        <w:jc w:val="both"/>
      </w:pPr>
      <w:r>
        <w:t>Based on this background, this study proposes two main research questions:</w:t>
      </w:r>
    </w:p>
    <w:p w14:paraId="6AC3B6FB" w14:textId="35594DA7" w:rsidR="00C932DC" w:rsidRDefault="00C932DC" w:rsidP="00C932DC">
      <w:pPr>
        <w:pStyle w:val="ListParagraph"/>
        <w:numPr>
          <w:ilvl w:val="0"/>
          <w:numId w:val="2"/>
        </w:numPr>
      </w:pPr>
      <w:r>
        <w:t>RQ1: Does AI usage intensity have a positive effect on the business performance of MSMEs in Jakarta?</w:t>
      </w:r>
    </w:p>
    <w:p w14:paraId="714FBC6F" w14:textId="7B813652" w:rsidR="00C932DC" w:rsidRDefault="00C932DC" w:rsidP="00C932DC">
      <w:pPr>
        <w:pStyle w:val="ListParagraph"/>
        <w:numPr>
          <w:ilvl w:val="0"/>
          <w:numId w:val="2"/>
        </w:numPr>
      </w:pPr>
      <w:r>
        <w:lastRenderedPageBreak/>
        <w:t>RQ2: Does company size strengthen or weaken this relationship?</w:t>
      </w:r>
    </w:p>
    <w:p w14:paraId="49C829BC" w14:textId="77777777" w:rsidR="00C932DC" w:rsidRPr="00C932DC" w:rsidRDefault="00C932DC" w:rsidP="00C932DC"/>
    <w:p w14:paraId="1EF5DE53" w14:textId="77777777" w:rsidR="00C932DC" w:rsidRPr="00C932DC" w:rsidRDefault="00C932DC" w:rsidP="00C932DC">
      <w:pPr>
        <w:jc w:val="both"/>
      </w:pPr>
      <w:r w:rsidRPr="00C932DC">
        <w:t>This research has a dual contribution. Theoretically, this study expands TAM by incorporating the contingency variable of company size, as well as integrating the RBV perspective to explain the paradox of AI adoption in the context of limited resources. Methodologically, this study examines the relationship between actual use and performance using a Covariance-Based Structural Equation Modeling (CB-SEM) approach based on Full Information Maximum Likelihood (FIML). With a sample of 300 SMEs in Jakarta, this study provides the first quantitative evidence in ASEAN that emphasizes the role of complementary conditions and company size in determining the business value of AI. This adds to the literature on information computing and statistics by showing that post-adoption TAM testing requires a rigorous SEM approach to verify the real impact of technology in a developing economy context.</w:t>
      </w:r>
    </w:p>
    <w:p w14:paraId="595EE580" w14:textId="77777777" w:rsidR="00C932DC" w:rsidRPr="00C932DC" w:rsidRDefault="00C932DC" w:rsidP="00C932DC"/>
    <w:p w14:paraId="2897470D" w14:textId="77777777" w:rsidR="00C932DC" w:rsidRPr="00C932DC" w:rsidRDefault="00C932DC" w:rsidP="00C932DC">
      <w:pPr>
        <w:rPr>
          <w:b/>
          <w:bCs/>
        </w:rPr>
      </w:pPr>
      <w:r w:rsidRPr="00C932DC">
        <w:rPr>
          <w:b/>
          <w:bCs/>
        </w:rPr>
        <w:t xml:space="preserve">2. LITERATURE REVIEW AND HYPOTHESIS DEVELOPMENT  </w:t>
      </w:r>
    </w:p>
    <w:p w14:paraId="4E8D989C" w14:textId="77777777" w:rsidR="00C932DC" w:rsidRPr="00C932DC" w:rsidRDefault="00C932DC" w:rsidP="00C932DC">
      <w:pPr>
        <w:rPr>
          <w:b/>
          <w:bCs/>
        </w:rPr>
      </w:pPr>
      <w:r w:rsidRPr="00C932DC">
        <w:rPr>
          <w:b/>
          <w:bCs/>
        </w:rPr>
        <w:t xml:space="preserve">2.1 Technology Acceptance Model (TAM)  </w:t>
      </w:r>
    </w:p>
    <w:p w14:paraId="29247F2D" w14:textId="77777777" w:rsidR="00C932DC" w:rsidRPr="00C932DC" w:rsidRDefault="00C932DC" w:rsidP="00C932DC">
      <w:pPr>
        <w:jc w:val="both"/>
      </w:pPr>
      <w:r w:rsidRPr="00C932DC">
        <w:t>The Technology Acceptance Model (TAM) explains that perceived usefulness (PU) and perceived ease of use (PEOU) influence behavioral intention, which in turn influences actual use (Davis, 1989). This model is widely used to examine technology adoption in various contexts, but the majority of research stops at the intention stage and rarely tests the relationship between actual use and performance (Dwivedi et al., 2023).</w:t>
      </w:r>
    </w:p>
    <w:p w14:paraId="782FA767" w14:textId="77777777" w:rsidR="00C932DC" w:rsidRPr="00C932DC" w:rsidRDefault="00C932DC" w:rsidP="00C932DC">
      <w:pPr>
        <w:jc w:val="both"/>
      </w:pPr>
      <w:r w:rsidRPr="00C932DC">
        <w:t>In the context of AI, post-adoption studies emphasize that usage intensity is an important predictor of organizational performance. Duan, Edwards, &amp; Dwivedi (2019) show that actual AI usage improves decision quality only when supported by data governance and analytical skills. Badghish &amp; Soomro (2024) also find that in Saudi SMEs, AI usage intensity improves sustainable performance, particularly through dynamic capabilities.</w:t>
      </w:r>
    </w:p>
    <w:p w14:paraId="57361440" w14:textId="779B68B5" w:rsidR="00C932DC" w:rsidRPr="00C932DC" w:rsidRDefault="00C932DC" w:rsidP="00C932DC">
      <w:pPr>
        <w:jc w:val="both"/>
        <w:rPr>
          <w:rFonts w:hint="eastAsia"/>
        </w:rPr>
      </w:pPr>
      <w:r w:rsidRPr="00C932DC">
        <w:rPr>
          <w:rFonts w:hint="eastAsia"/>
        </w:rPr>
        <w:t>This study expands TAM by focusing the analysis on the post-adoption relationship, namely from AI usage intensity</w:t>
      </w:r>
      <w:r>
        <w:t xml:space="preserve"> to</w:t>
      </w:r>
      <w:r w:rsidRPr="00C932DC">
        <w:rPr>
          <w:rFonts w:hint="eastAsia"/>
        </w:rPr>
        <w:t xml:space="preserve"> business performance, using Covariance-Based SEM in the context of Jakarta MSMEs.</w:t>
      </w:r>
    </w:p>
    <w:p w14:paraId="50B3C293" w14:textId="77777777" w:rsidR="00C932DC" w:rsidRPr="00C932DC" w:rsidRDefault="00C932DC" w:rsidP="00C932DC"/>
    <w:p w14:paraId="1B3C6DC0" w14:textId="77777777" w:rsidR="00C932DC" w:rsidRPr="00C932DC" w:rsidRDefault="00C932DC" w:rsidP="00C932DC">
      <w:pPr>
        <w:rPr>
          <w:b/>
          <w:bCs/>
        </w:rPr>
      </w:pPr>
      <w:r w:rsidRPr="00C932DC">
        <w:rPr>
          <w:b/>
          <w:bCs/>
        </w:rPr>
        <w:t>2.2. Resource-Based View (RBV) and Task-Technology Fit (TTF)</w:t>
      </w:r>
    </w:p>
    <w:p w14:paraId="784B2B40" w14:textId="77777777" w:rsidR="00C932DC" w:rsidRPr="00C932DC" w:rsidRDefault="00C932DC" w:rsidP="00C932DC">
      <w:pPr>
        <w:jc w:val="both"/>
      </w:pPr>
      <w:r w:rsidRPr="00C932DC">
        <w:t>The Resource-Based View (RBV) argues that competitive advantage arises from a bundle of resources that are scarce, difficult to imitate, and non-substitutable (Barney, 1991). In the context of AI, successful implementation depends on complementary assets, such as quality data, analytical skills, cloud infrastructure, and a culture of knowledge sharing (Hansen &amp; Bøgh, 2021; UNCTAD, 2021). Without these assets, technology does not generate economic rents.</w:t>
      </w:r>
    </w:p>
    <w:p w14:paraId="76C7218B" w14:textId="77777777" w:rsidR="00C932DC" w:rsidRPr="00C932DC" w:rsidRDefault="00C932DC" w:rsidP="00C932DC">
      <w:pPr>
        <w:jc w:val="both"/>
      </w:pPr>
      <w:r w:rsidRPr="00C932DC">
        <w:t>In line with RBV, the Task-Technology Fit (TTF) theory asserts that technology only improves performance when it is appropriate for the task at hand (Goodhue &amp; Thompson, 1995). In MSMEs, the fit between AI and business processes mediates the relationship between usage intensity and performance. Without high TTF, usage intensity becomes meaningless, as organizations are unable to absorb the value of the adopted technology.</w:t>
      </w:r>
    </w:p>
    <w:p w14:paraId="505ED5E5" w14:textId="77777777" w:rsidR="00C932DC" w:rsidRPr="00C932DC" w:rsidRDefault="00C932DC" w:rsidP="00C932DC">
      <w:pPr>
        <w:rPr>
          <w:b/>
          <w:bCs/>
        </w:rPr>
      </w:pPr>
      <w:r w:rsidRPr="00C932DC">
        <w:rPr>
          <w:b/>
          <w:bCs/>
        </w:rPr>
        <w:lastRenderedPageBreak/>
        <w:t>2.3. Company Size as a Size Variable (Main Effect)</w:t>
      </w:r>
    </w:p>
    <w:p w14:paraId="61408A88" w14:textId="77777777" w:rsidR="00C932DC" w:rsidRPr="00C932DC" w:rsidRDefault="00C932DC" w:rsidP="00C932DC">
      <w:pPr>
        <w:jc w:val="both"/>
      </w:pPr>
      <w:r w:rsidRPr="00C932DC">
        <w:t>Micro and small SMEs often face the liability of smallness: limited capital, time, and access to AI talent. The OECD (2022) emphasizes that the impact of AI on productivity is size-dependent, where micro SMEs require external support mechanisms, while larger SMEs have greater capacity to build data pipelines and cross-functional teams.</w:t>
      </w:r>
    </w:p>
    <w:p w14:paraId="040F632B" w14:textId="77777777" w:rsidR="00C932DC" w:rsidRPr="00C932DC" w:rsidRDefault="00C932DC" w:rsidP="00C932DC">
      <w:pPr>
        <w:jc w:val="both"/>
      </w:pPr>
      <w:r w:rsidRPr="00C932DC">
        <w:t>The results of this study (SEM-TAM220805) show that company size does not significantly moderate the relationship between AI usage intensity and business performance. Therefore, company size is treated as a direct effect on business performance (main effect).</w:t>
      </w:r>
    </w:p>
    <w:p w14:paraId="5D5C2157" w14:textId="77777777" w:rsidR="00C932DC" w:rsidRPr="00C932DC" w:rsidRDefault="00C932DC" w:rsidP="00C932DC">
      <w:pPr>
        <w:rPr>
          <w:b/>
          <w:bCs/>
        </w:rPr>
      </w:pPr>
      <w:r w:rsidRPr="00C932DC">
        <w:rPr>
          <w:b/>
          <w:bCs/>
        </w:rPr>
        <w:t>2.4. Hypothesis</w:t>
      </w:r>
    </w:p>
    <w:p w14:paraId="3277F3B4" w14:textId="77777777" w:rsidR="00C932DC" w:rsidRPr="00C932DC" w:rsidRDefault="00C932DC" w:rsidP="00C932DC">
      <w:pPr>
        <w:jc w:val="both"/>
      </w:pPr>
      <w:r w:rsidRPr="00C932DC">
        <w:t>Based on the above literature review, there are several consistent patterns of findings. First, previous studies show that AI usage intensity has the potential to improve organizational performance, although this effect often depends on complementary conditions such as data quality, analytical skills, and task-technology fit. Thus, further empirical testing is needed in the context of emerging markets, particularly MSMEs in Jakarta, to confirm whether these mechanisms apply.</w:t>
      </w:r>
    </w:p>
    <w:p w14:paraId="3ECD05D9" w14:textId="77777777" w:rsidR="00C932DC" w:rsidRPr="00C932DC" w:rsidRDefault="00C932DC" w:rsidP="00C932DC">
      <w:pPr>
        <w:jc w:val="both"/>
      </w:pPr>
      <w:r w:rsidRPr="00C932DC">
        <w:t>Second, company size has long been viewed as an important factor in adopting and utilizing digital technology. RBV literature and OECD studies emphasize that larger companies have a higher capacity to absorb the benefits of technology, while micro and small companies are often constrained by the liability of smallness. However, the results of SEM analysis in this study show that company size does not function as a moderator, but rather as a direct explanatory factor for variations in business performance.</w:t>
      </w:r>
    </w:p>
    <w:p w14:paraId="5A663E48" w14:textId="77777777" w:rsidR="00C932DC" w:rsidRPr="00C932DC" w:rsidRDefault="00C932DC" w:rsidP="00C932DC">
      <w:pPr>
        <w:jc w:val="both"/>
      </w:pPr>
      <w:r w:rsidRPr="00C932DC">
        <w:t>Based on this theoretical foundation, and considering the empirical findings from this study's data, the research hypotheses are formulated as follows:</w:t>
      </w:r>
    </w:p>
    <w:p w14:paraId="6DAA0767" w14:textId="1DC4FC8E" w:rsidR="00C932DC" w:rsidRDefault="00C932DC" w:rsidP="00C932DC">
      <w:pPr>
        <w:pStyle w:val="ListParagraph"/>
        <w:numPr>
          <w:ilvl w:val="0"/>
          <w:numId w:val="2"/>
        </w:numPr>
      </w:pPr>
      <w:r>
        <w:t>H1: The intensity of AI use has a positive effect on the business performance of MSMEs in Jakarta.</w:t>
      </w:r>
    </w:p>
    <w:p w14:paraId="2EEAEB69" w14:textId="249DB87A" w:rsidR="00C932DC" w:rsidRDefault="00C932DC" w:rsidP="00C932DC">
      <w:pPr>
        <w:pStyle w:val="ListParagraph"/>
        <w:numPr>
          <w:ilvl w:val="0"/>
          <w:numId w:val="2"/>
        </w:numPr>
      </w:pPr>
      <w:r>
        <w:t>H2: Company size has a positive effect on the business performance of MSMEs in Jakarta.</w:t>
      </w:r>
    </w:p>
    <w:p w14:paraId="0555F1B1" w14:textId="77777777" w:rsidR="00C932DC" w:rsidRDefault="00C932DC" w:rsidP="00C932DC"/>
    <w:p w14:paraId="4D25BEE9" w14:textId="77777777" w:rsidR="00C932DC" w:rsidRPr="00C932DC" w:rsidRDefault="00C932DC" w:rsidP="00C932DC">
      <w:pPr>
        <w:rPr>
          <w:b/>
          <w:bCs/>
        </w:rPr>
      </w:pPr>
      <w:r w:rsidRPr="00C932DC">
        <w:rPr>
          <w:b/>
          <w:bCs/>
        </w:rPr>
        <w:t xml:space="preserve">3. METHODOLOGY  </w:t>
      </w:r>
    </w:p>
    <w:p w14:paraId="3C19BF8B" w14:textId="77777777" w:rsidR="00C932DC" w:rsidRDefault="00C932DC" w:rsidP="00C932DC">
      <w:pPr>
        <w:jc w:val="both"/>
      </w:pPr>
      <w:r>
        <w:t>This study uses a quantitative-positivist approach with a cross-sectional survey design. The main objective is to examine the causal relationship between the intensity of AI use and the business performance of MSMEs, as well as the moderating effect of company size. The analysis was conducted using covariance-based structural equation modeling (CB-SEM) because the model is confirmatory and the data is ordinal (Hair et al., 2019).</w:t>
      </w:r>
    </w:p>
    <w:p w14:paraId="42D61B9A" w14:textId="77777777" w:rsidR="00C932DC" w:rsidRPr="00C932DC" w:rsidRDefault="00C932DC" w:rsidP="00C932DC">
      <w:pPr>
        <w:rPr>
          <w:b/>
          <w:bCs/>
        </w:rPr>
      </w:pPr>
      <w:r w:rsidRPr="00C932DC">
        <w:rPr>
          <w:b/>
          <w:bCs/>
        </w:rPr>
        <w:t>3.1 Population and Sample</w:t>
      </w:r>
    </w:p>
    <w:p w14:paraId="2AEDB033" w14:textId="77777777" w:rsidR="00C932DC" w:rsidRDefault="00C932DC" w:rsidP="00C932DC">
      <w:pPr>
        <w:jc w:val="both"/>
      </w:pPr>
      <w:r>
        <w:t>Population: 495 thousand MSMEs registered in DKI Jakarta (BPS-DKI Jakarta, 2023). A minimum sample of 263 was calculated using the Rao-soft tool (margin of error 5%, power 80%) in accordance with the recommendations of Krejcie &amp; Morgan (1970). Sampling technique: stratified proportionate based on region (5 municipalities) and sector (trade, food, creative services). Online (Google Forms) and offline (drop-off) questionnaires were distributed from June to July 2024. A total of 300 valid questionnaires were collected.</w:t>
      </w:r>
    </w:p>
    <w:p w14:paraId="7B8D526A" w14:textId="77777777" w:rsidR="00C932DC" w:rsidRPr="00C932DC" w:rsidRDefault="00C932DC" w:rsidP="00C932DC">
      <w:pPr>
        <w:rPr>
          <w:b/>
          <w:bCs/>
        </w:rPr>
      </w:pPr>
      <w:r w:rsidRPr="00C932DC">
        <w:rPr>
          <w:b/>
          <w:bCs/>
        </w:rPr>
        <w:lastRenderedPageBreak/>
        <w:t>3.2 Operational Definitions and Instruments</w:t>
      </w:r>
    </w:p>
    <w:p w14:paraId="779FAE0E" w14:textId="2A2947BA" w:rsidR="00C932DC" w:rsidRDefault="00C932DC" w:rsidP="00C932DC">
      <w:pPr>
        <w:pStyle w:val="ListParagraph"/>
        <w:numPr>
          <w:ilvl w:val="0"/>
          <w:numId w:val="2"/>
        </w:numPr>
      </w:pPr>
      <w:r>
        <w:t>AI Usage Intensity (3 items, α = 0.81): frequency, duration, and variety of AI features used per week (5-point Likert scale; 1 = Strongly Disagree, 5 = Strongly Agree; adapted from Davis, 1989).</w:t>
      </w:r>
    </w:p>
    <w:p w14:paraId="43E55189" w14:textId="0B0AFCBA" w:rsidR="00C932DC" w:rsidRDefault="00C932DC" w:rsidP="00C932DC">
      <w:pPr>
        <w:pStyle w:val="ListParagraph"/>
        <w:numPr>
          <w:ilvl w:val="0"/>
          <w:numId w:val="2"/>
        </w:numPr>
      </w:pPr>
      <w:r>
        <w:t>Business Performance (3 items, α = 0.85): growth in turnover, profit, and number of customers vs. last year (5-point scale; adapted from Liang et al., 2022).</w:t>
      </w:r>
    </w:p>
    <w:p w14:paraId="4F75D7C0" w14:textId="6A30A7D5" w:rsidR="00C932DC" w:rsidRDefault="00C932DC" w:rsidP="00C932DC">
      <w:pPr>
        <w:pStyle w:val="ListParagraph"/>
        <w:numPr>
          <w:ilvl w:val="0"/>
          <w:numId w:val="2"/>
        </w:numPr>
        <w:rPr>
          <w:rFonts w:hint="eastAsia"/>
        </w:rPr>
      </w:pPr>
      <w:r>
        <w:rPr>
          <w:rFonts w:hint="eastAsia"/>
        </w:rPr>
        <w:t>Company Size: micro (</w:t>
      </w:r>
      <w:r>
        <w:rPr>
          <w:rFonts w:hint="eastAsia"/>
        </w:rPr>
        <w:t>≤</w:t>
      </w:r>
      <w:r>
        <w:rPr>
          <w:rFonts w:hint="eastAsia"/>
        </w:rPr>
        <w:t>4 employees), small (5</w:t>
      </w:r>
      <w:r>
        <w:rPr>
          <w:rFonts w:hint="eastAsia"/>
        </w:rPr>
        <w:t>–</w:t>
      </w:r>
      <w:r>
        <w:rPr>
          <w:rFonts w:hint="eastAsia"/>
        </w:rPr>
        <w:t>19), medium (20</w:t>
      </w:r>
      <w:r>
        <w:rPr>
          <w:rFonts w:hint="eastAsia"/>
        </w:rPr>
        <w:t>–</w:t>
      </w:r>
      <w:r>
        <w:rPr>
          <w:rFonts w:hint="eastAsia"/>
        </w:rPr>
        <w:t>99) categories based on Law No. 20/2008.</w:t>
      </w:r>
    </w:p>
    <w:p w14:paraId="76E2B890" w14:textId="7C312E1C" w:rsidR="00C932DC" w:rsidRDefault="00C932DC" w:rsidP="00C932DC">
      <w:pPr>
        <w:pStyle w:val="ListParagraph"/>
        <w:numPr>
          <w:ilvl w:val="0"/>
          <w:numId w:val="2"/>
        </w:numPr>
      </w:pPr>
      <w:r>
        <w:t>Controls: business age (years) and sector (retail, food, creative services).</w:t>
      </w:r>
    </w:p>
    <w:p w14:paraId="72CF6804" w14:textId="77777777" w:rsidR="00C932DC" w:rsidRDefault="00C932DC" w:rsidP="00C932DC">
      <w:r>
        <w:t>All constructs use a 5-point Likert scale (1 = Strongly Disagree, 5 = Strongly Agree).</w:t>
      </w:r>
    </w:p>
    <w:p w14:paraId="19D65D76" w14:textId="77777777" w:rsidR="00C932DC" w:rsidRPr="00C932DC" w:rsidRDefault="00C932DC" w:rsidP="00C932DC">
      <w:pPr>
        <w:rPr>
          <w:b/>
          <w:bCs/>
        </w:rPr>
      </w:pPr>
      <w:r w:rsidRPr="00C932DC">
        <w:rPr>
          <w:b/>
          <w:bCs/>
        </w:rPr>
        <w:t>3.3 Validity and Reliability Tests</w:t>
      </w:r>
    </w:p>
    <w:p w14:paraId="4FCC4305" w14:textId="6ADB2CFD" w:rsidR="00C932DC" w:rsidRDefault="00C932DC" w:rsidP="00C932DC">
      <w:pPr>
        <w:pStyle w:val="ListParagraph"/>
        <w:numPr>
          <w:ilvl w:val="0"/>
          <w:numId w:val="2"/>
        </w:numPr>
        <w:rPr>
          <w:rFonts w:hint="eastAsia"/>
        </w:rPr>
      </w:pPr>
      <w:r>
        <w:rPr>
          <w:rFonts w:hint="eastAsia"/>
        </w:rPr>
        <w:t xml:space="preserve">Convergent validity: outer loading </w:t>
      </w:r>
      <w:r>
        <w:rPr>
          <w:rFonts w:hint="eastAsia"/>
        </w:rPr>
        <w:t>≥</w:t>
      </w:r>
      <w:r>
        <w:rPr>
          <w:rFonts w:hint="eastAsia"/>
        </w:rPr>
        <w:t xml:space="preserve"> 0.60 and significant (p &lt; 0.001) (Hair et al., 2019).</w:t>
      </w:r>
    </w:p>
    <w:p w14:paraId="6A33F7C5" w14:textId="3A25424A" w:rsidR="00C932DC" w:rsidRDefault="00C932DC" w:rsidP="00C932DC">
      <w:pPr>
        <w:pStyle w:val="ListParagraph"/>
        <w:numPr>
          <w:ilvl w:val="0"/>
          <w:numId w:val="2"/>
        </w:numPr>
        <w:rPr>
          <w:rFonts w:hint="eastAsia"/>
        </w:rPr>
      </w:pPr>
      <w:r>
        <w:rPr>
          <w:rFonts w:hint="eastAsia"/>
        </w:rPr>
        <w:t xml:space="preserve">Internal reliability: Cronbach </w:t>
      </w:r>
      <w:r>
        <w:rPr>
          <w:rFonts w:hint="eastAsia"/>
        </w:rPr>
        <w:t>α</w:t>
      </w:r>
      <w:r>
        <w:rPr>
          <w:rFonts w:hint="eastAsia"/>
        </w:rPr>
        <w:t xml:space="preserve"> </w:t>
      </w:r>
      <w:r>
        <w:rPr>
          <w:rFonts w:hint="eastAsia"/>
        </w:rPr>
        <w:t>≥</w:t>
      </w:r>
      <w:r>
        <w:rPr>
          <w:rFonts w:hint="eastAsia"/>
        </w:rPr>
        <w:t xml:space="preserve"> 0.70 (Nunnally &amp; Bernstein, 1994).</w:t>
      </w:r>
    </w:p>
    <w:p w14:paraId="66B5426A" w14:textId="5A8B66EA" w:rsidR="00C932DC" w:rsidRDefault="00C932DC" w:rsidP="00C932DC">
      <w:pPr>
        <w:pStyle w:val="ListParagraph"/>
        <w:numPr>
          <w:ilvl w:val="0"/>
          <w:numId w:val="2"/>
        </w:numPr>
      </w:pPr>
      <w:r>
        <w:t>Common method bias: Harman single-factor 42% (&lt; 50%) and marker-variable test (Podsakoff et al., 2003).</w:t>
      </w:r>
    </w:p>
    <w:p w14:paraId="52C1D464" w14:textId="77777777" w:rsidR="00C932DC" w:rsidRPr="00C932DC" w:rsidRDefault="00C932DC" w:rsidP="00C932DC">
      <w:pPr>
        <w:rPr>
          <w:b/>
          <w:bCs/>
        </w:rPr>
      </w:pPr>
      <w:r w:rsidRPr="00C932DC">
        <w:rPr>
          <w:b/>
          <w:bCs/>
        </w:rPr>
        <w:t>3.4 Data Analysis</w:t>
      </w:r>
    </w:p>
    <w:p w14:paraId="70FDF224" w14:textId="77777777" w:rsidR="00C932DC" w:rsidRDefault="00C932DC" w:rsidP="00C932DC">
      <w:pPr>
        <w:jc w:val="both"/>
      </w:pPr>
      <w:r>
        <w:t>The model was tested using covariance-based structural equation modeling (CB-SEM) with Maximum Likelihood Estimation (MLE) in JASP 0.18. Missing data were handled using Full-Information Maximum Likelihood (FIML). Goodness-of-fit criteria:</w:t>
      </w:r>
    </w:p>
    <w:p w14:paraId="593F4BE8" w14:textId="7EE12EA8" w:rsidR="00C932DC" w:rsidRDefault="00C932DC" w:rsidP="00C932DC">
      <w:pPr>
        <w:pStyle w:val="ListParagraph"/>
        <w:numPr>
          <w:ilvl w:val="0"/>
          <w:numId w:val="2"/>
        </w:numPr>
      </w:pPr>
      <w:r>
        <w:t>χ²/df &lt; 3.00</w:t>
      </w:r>
    </w:p>
    <w:p w14:paraId="6C4FF4CC" w14:textId="0DE50F06" w:rsidR="00C932DC" w:rsidRDefault="00C932DC" w:rsidP="00C932DC">
      <w:pPr>
        <w:pStyle w:val="ListParagraph"/>
        <w:numPr>
          <w:ilvl w:val="0"/>
          <w:numId w:val="2"/>
        </w:numPr>
        <w:rPr>
          <w:rFonts w:hint="eastAsia"/>
        </w:rPr>
      </w:pPr>
      <w:r>
        <w:rPr>
          <w:rFonts w:hint="eastAsia"/>
        </w:rPr>
        <w:t xml:space="preserve">CFI </w:t>
      </w:r>
      <w:r>
        <w:rPr>
          <w:rFonts w:hint="eastAsia"/>
        </w:rPr>
        <w:t>≥</w:t>
      </w:r>
      <w:r>
        <w:rPr>
          <w:rFonts w:hint="eastAsia"/>
        </w:rPr>
        <w:t xml:space="preserve"> 0.95</w:t>
      </w:r>
    </w:p>
    <w:p w14:paraId="526F1711" w14:textId="291DC898" w:rsidR="00C932DC" w:rsidRDefault="00C932DC" w:rsidP="00C932DC">
      <w:pPr>
        <w:pStyle w:val="ListParagraph"/>
        <w:numPr>
          <w:ilvl w:val="0"/>
          <w:numId w:val="2"/>
        </w:numPr>
        <w:rPr>
          <w:rFonts w:hint="eastAsia"/>
        </w:rPr>
      </w:pPr>
      <w:r>
        <w:rPr>
          <w:rFonts w:hint="eastAsia"/>
        </w:rPr>
        <w:t xml:space="preserve">RMSEA </w:t>
      </w:r>
      <w:r>
        <w:rPr>
          <w:rFonts w:hint="eastAsia"/>
        </w:rPr>
        <w:t>≤</w:t>
      </w:r>
      <w:r>
        <w:rPr>
          <w:rFonts w:hint="eastAsia"/>
        </w:rPr>
        <w:t xml:space="preserve"> 0.08</w:t>
      </w:r>
    </w:p>
    <w:p w14:paraId="0AD4C2D1" w14:textId="714CA364" w:rsidR="00C932DC" w:rsidRDefault="00C932DC" w:rsidP="00C932DC">
      <w:pPr>
        <w:pStyle w:val="ListParagraph"/>
        <w:numPr>
          <w:ilvl w:val="0"/>
          <w:numId w:val="2"/>
        </w:numPr>
        <w:rPr>
          <w:rFonts w:hint="eastAsia"/>
        </w:rPr>
      </w:pPr>
      <w:r>
        <w:rPr>
          <w:rFonts w:hint="eastAsia"/>
        </w:rPr>
        <w:t xml:space="preserve">SRMR </w:t>
      </w:r>
      <w:r>
        <w:rPr>
          <w:rFonts w:hint="eastAsia"/>
        </w:rPr>
        <w:t>≤</w:t>
      </w:r>
      <w:r>
        <w:rPr>
          <w:rFonts w:hint="eastAsia"/>
        </w:rPr>
        <w:t xml:space="preserve"> 0.08 (Hu &amp; Bentler, 1999; Hair et al., 2019)</w:t>
      </w:r>
    </w:p>
    <w:p w14:paraId="1F428506" w14:textId="77777777" w:rsidR="00C932DC" w:rsidRDefault="00C932DC" w:rsidP="00C932DC">
      <w:pPr>
        <w:jc w:val="both"/>
      </w:pPr>
      <w:r>
        <w:t>Mediation tests were conducted using bias-corrected bootstrap 5,000 replications to calculate confidence intervals according to CB-SEM standards (Hayes, 2018). Post-hoc power analysis showed power &gt; 0.80 for effect β = 0.15 (medium).</w:t>
      </w:r>
    </w:p>
    <w:p w14:paraId="55F5FA64" w14:textId="77777777" w:rsidR="00C932DC" w:rsidRDefault="00C932DC" w:rsidP="00C932DC"/>
    <w:p w14:paraId="5893A58B" w14:textId="77777777" w:rsidR="00C932DC" w:rsidRPr="00C932DC" w:rsidRDefault="00C932DC" w:rsidP="00C932DC">
      <w:pPr>
        <w:rPr>
          <w:b/>
          <w:bCs/>
        </w:rPr>
      </w:pPr>
      <w:r w:rsidRPr="00C932DC">
        <w:rPr>
          <w:b/>
          <w:bCs/>
        </w:rPr>
        <w:t xml:space="preserve">4. RESULTS  </w:t>
      </w:r>
    </w:p>
    <w:p w14:paraId="3342AFD2" w14:textId="77777777" w:rsidR="00C932DC" w:rsidRPr="00C932DC" w:rsidRDefault="00C932DC" w:rsidP="00C932DC">
      <w:pPr>
        <w:rPr>
          <w:b/>
          <w:bCs/>
        </w:rPr>
      </w:pPr>
      <w:r w:rsidRPr="00C932DC">
        <w:rPr>
          <w:b/>
          <w:bCs/>
        </w:rPr>
        <w:t>4.1. Measurement Model Evaluation (Outer Model)</w:t>
      </w:r>
    </w:p>
    <w:p w14:paraId="205FDB77" w14:textId="77777777" w:rsidR="00C932DC" w:rsidRDefault="00C932DC" w:rsidP="00C932DC">
      <w:pPr>
        <w:jc w:val="both"/>
      </w:pPr>
      <w:r>
        <w:rPr>
          <w:rFonts w:hint="eastAsia"/>
        </w:rPr>
        <w:t xml:space="preserve">Before testing the structural relationships, the measurement model was evaluated to ensure construct validity and reliability. Table 4.1 shows that all indicators have outer loadings </w:t>
      </w:r>
      <w:r>
        <w:rPr>
          <w:rFonts w:hint="eastAsia"/>
        </w:rPr>
        <w:t>≥</w:t>
      </w:r>
      <w:r>
        <w:rPr>
          <w:rFonts w:hint="eastAsia"/>
        </w:rPr>
        <w:t xml:space="preserve"> 0.68 and are significant at p &lt; 0.001. The AVE values of all constructs</w:t>
      </w:r>
      <w:r>
        <w:t xml:space="preserve"> are above 0.50, indicating adequate convergent validity (Hair et al., 2019). Internal reliability is also met, with Cronbach's α and Composite Reliability both above the threshold of 0.70 (Nunnally &amp; Bernstein, 1994).</w:t>
      </w:r>
    </w:p>
    <w:p w14:paraId="18732559" w14:textId="77777777" w:rsidR="00C932DC" w:rsidRDefault="00C932DC" w:rsidP="00C932DC">
      <w:pPr>
        <w:jc w:val="both"/>
      </w:pPr>
      <w:r>
        <w:t>Thus, no indicators were eliminated because all met the validity and reliability requirements.</w:t>
      </w:r>
    </w:p>
    <w:p w14:paraId="183E866D" w14:textId="146C74E4" w:rsidR="00C932DC" w:rsidRDefault="00C932DC" w:rsidP="00C932DC">
      <w:r w:rsidRPr="00C932DC">
        <w:rPr>
          <w:b/>
          <w:bCs/>
        </w:rPr>
        <w:t>Table 4.1.</w:t>
      </w:r>
      <w:r>
        <w:t xml:space="preserve"> Summary of Construct Validity &amp; Reliability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29"/>
        <w:gridCol w:w="1345"/>
        <w:gridCol w:w="2235"/>
        <w:gridCol w:w="690"/>
        <w:gridCol w:w="1710"/>
      </w:tblGrid>
      <w:tr w:rsidR="00C932DC" w:rsidRPr="00EC5541" w14:paraId="04BE9BB8" w14:textId="77777777" w:rsidTr="009F6485">
        <w:trPr>
          <w:tblHeader/>
        </w:trPr>
        <w:tc>
          <w:tcPr>
            <w:tcW w:w="0" w:type="auto"/>
            <w:tcMar>
              <w:top w:w="150" w:type="dxa"/>
              <w:left w:w="150" w:type="dxa"/>
              <w:bottom w:w="150" w:type="dxa"/>
              <w:right w:w="150" w:type="dxa"/>
            </w:tcMar>
            <w:vAlign w:val="bottom"/>
            <w:hideMark/>
          </w:tcPr>
          <w:p w14:paraId="436DBDA5" w14:textId="4EE1016B" w:rsidR="00C932DC" w:rsidRPr="00EC5541" w:rsidRDefault="00C932DC" w:rsidP="00C932DC">
            <w:pPr>
              <w:spacing w:after="0"/>
              <w:rPr>
                <w:b/>
                <w:bCs/>
              </w:rPr>
            </w:pPr>
            <w:r>
              <w:rPr>
                <w:b/>
                <w:bCs/>
              </w:rPr>
              <w:lastRenderedPageBreak/>
              <w:t>C</w:t>
            </w:r>
            <w:r w:rsidRPr="00EC5541">
              <w:rPr>
                <w:b/>
                <w:bCs/>
              </w:rPr>
              <w:t>onstru</w:t>
            </w:r>
            <w:r>
              <w:rPr>
                <w:b/>
                <w:bCs/>
              </w:rPr>
              <w:t>ct</w:t>
            </w:r>
          </w:p>
        </w:tc>
        <w:tc>
          <w:tcPr>
            <w:tcW w:w="0" w:type="auto"/>
            <w:tcMar>
              <w:top w:w="150" w:type="dxa"/>
              <w:left w:w="150" w:type="dxa"/>
              <w:bottom w:w="150" w:type="dxa"/>
              <w:right w:w="150" w:type="dxa"/>
            </w:tcMar>
            <w:vAlign w:val="bottom"/>
            <w:hideMark/>
          </w:tcPr>
          <w:p w14:paraId="64114B51" w14:textId="77777777" w:rsidR="00C932DC" w:rsidRPr="00EC5541" w:rsidRDefault="00C932DC" w:rsidP="00C932DC">
            <w:pPr>
              <w:spacing w:after="0"/>
              <w:rPr>
                <w:b/>
                <w:bCs/>
              </w:rPr>
            </w:pPr>
            <w:r w:rsidRPr="00EC5541">
              <w:rPr>
                <w:b/>
                <w:bCs/>
              </w:rPr>
              <w:t>Cronbach α</w:t>
            </w:r>
          </w:p>
        </w:tc>
        <w:tc>
          <w:tcPr>
            <w:tcW w:w="0" w:type="auto"/>
            <w:tcMar>
              <w:top w:w="150" w:type="dxa"/>
              <w:left w:w="150" w:type="dxa"/>
              <w:bottom w:w="150" w:type="dxa"/>
              <w:right w:w="150" w:type="dxa"/>
            </w:tcMar>
            <w:vAlign w:val="bottom"/>
            <w:hideMark/>
          </w:tcPr>
          <w:p w14:paraId="06833D3E" w14:textId="77777777" w:rsidR="00C932DC" w:rsidRPr="00EC5541" w:rsidRDefault="00C932DC" w:rsidP="00C932DC">
            <w:pPr>
              <w:spacing w:after="0"/>
              <w:rPr>
                <w:b/>
                <w:bCs/>
              </w:rPr>
            </w:pPr>
            <w:r w:rsidRPr="00EC5541">
              <w:rPr>
                <w:b/>
                <w:bCs/>
              </w:rPr>
              <w:t>Composite Reliability</w:t>
            </w:r>
          </w:p>
        </w:tc>
        <w:tc>
          <w:tcPr>
            <w:tcW w:w="0" w:type="auto"/>
            <w:tcMar>
              <w:top w:w="150" w:type="dxa"/>
              <w:left w:w="150" w:type="dxa"/>
              <w:bottom w:w="150" w:type="dxa"/>
              <w:right w:w="150" w:type="dxa"/>
            </w:tcMar>
            <w:vAlign w:val="bottom"/>
            <w:hideMark/>
          </w:tcPr>
          <w:p w14:paraId="73D12CB1" w14:textId="77777777" w:rsidR="00C932DC" w:rsidRPr="00EC5541" w:rsidRDefault="00C932DC" w:rsidP="00C932DC">
            <w:pPr>
              <w:spacing w:after="0"/>
              <w:rPr>
                <w:b/>
                <w:bCs/>
              </w:rPr>
            </w:pPr>
            <w:r w:rsidRPr="00EC5541">
              <w:rPr>
                <w:b/>
                <w:bCs/>
              </w:rPr>
              <w:t>AVE</w:t>
            </w:r>
          </w:p>
        </w:tc>
        <w:tc>
          <w:tcPr>
            <w:tcW w:w="0" w:type="auto"/>
            <w:tcMar>
              <w:top w:w="150" w:type="dxa"/>
              <w:left w:w="150" w:type="dxa"/>
              <w:bottom w:w="150" w:type="dxa"/>
              <w:right w:w="150" w:type="dxa"/>
            </w:tcMar>
            <w:vAlign w:val="bottom"/>
            <w:hideMark/>
          </w:tcPr>
          <w:p w14:paraId="3AAC72D8" w14:textId="5EDE6410" w:rsidR="00C932DC" w:rsidRPr="00EC5541" w:rsidRDefault="00C932DC" w:rsidP="00C932DC">
            <w:pPr>
              <w:spacing w:after="0"/>
              <w:rPr>
                <w:b/>
                <w:bCs/>
              </w:rPr>
            </w:pPr>
            <w:r>
              <w:rPr>
                <w:b/>
                <w:bCs/>
              </w:rPr>
              <w:t xml:space="preserve">Lowest </w:t>
            </w:r>
            <w:r w:rsidRPr="00EC5541">
              <w:rPr>
                <w:b/>
                <w:bCs/>
              </w:rPr>
              <w:t xml:space="preserve">Loading </w:t>
            </w:r>
          </w:p>
        </w:tc>
      </w:tr>
      <w:tr w:rsidR="00C932DC" w:rsidRPr="00EC5541" w14:paraId="7E3A045D" w14:textId="77777777" w:rsidTr="009F6485">
        <w:tc>
          <w:tcPr>
            <w:tcW w:w="0" w:type="auto"/>
            <w:tcMar>
              <w:top w:w="150" w:type="dxa"/>
              <w:left w:w="150" w:type="dxa"/>
              <w:bottom w:w="150" w:type="dxa"/>
              <w:right w:w="150" w:type="dxa"/>
            </w:tcMar>
            <w:vAlign w:val="bottom"/>
            <w:hideMark/>
          </w:tcPr>
          <w:p w14:paraId="1F688DC1" w14:textId="4D70B1BF" w:rsidR="00C932DC" w:rsidRPr="00EC5541" w:rsidRDefault="00C932DC" w:rsidP="00C932DC">
            <w:pPr>
              <w:spacing w:after="0"/>
            </w:pPr>
            <w:r>
              <w:t>Using</w:t>
            </w:r>
            <w:r w:rsidRPr="00EC5541">
              <w:t>_AI</w:t>
            </w:r>
          </w:p>
        </w:tc>
        <w:tc>
          <w:tcPr>
            <w:tcW w:w="0" w:type="auto"/>
            <w:tcMar>
              <w:top w:w="150" w:type="dxa"/>
              <w:left w:w="150" w:type="dxa"/>
              <w:bottom w:w="150" w:type="dxa"/>
              <w:right w:w="150" w:type="dxa"/>
            </w:tcMar>
            <w:vAlign w:val="bottom"/>
            <w:hideMark/>
          </w:tcPr>
          <w:p w14:paraId="0912E987" w14:textId="77777777" w:rsidR="00C932DC" w:rsidRPr="00EC5541" w:rsidRDefault="00C932DC" w:rsidP="00C932DC">
            <w:pPr>
              <w:spacing w:after="0"/>
            </w:pPr>
            <w:r w:rsidRPr="00EC5541">
              <w:t>0,81</w:t>
            </w:r>
          </w:p>
        </w:tc>
        <w:tc>
          <w:tcPr>
            <w:tcW w:w="0" w:type="auto"/>
            <w:tcMar>
              <w:top w:w="150" w:type="dxa"/>
              <w:left w:w="150" w:type="dxa"/>
              <w:bottom w:w="150" w:type="dxa"/>
              <w:right w:w="150" w:type="dxa"/>
            </w:tcMar>
            <w:vAlign w:val="bottom"/>
            <w:hideMark/>
          </w:tcPr>
          <w:p w14:paraId="35958D4D" w14:textId="77777777" w:rsidR="00C932DC" w:rsidRPr="00EC5541" w:rsidRDefault="00C932DC" w:rsidP="00C932DC">
            <w:pPr>
              <w:spacing w:after="0"/>
            </w:pPr>
            <w:r w:rsidRPr="00EC5541">
              <w:t>0,87</w:t>
            </w:r>
          </w:p>
        </w:tc>
        <w:tc>
          <w:tcPr>
            <w:tcW w:w="0" w:type="auto"/>
            <w:tcMar>
              <w:top w:w="150" w:type="dxa"/>
              <w:left w:w="150" w:type="dxa"/>
              <w:bottom w:w="150" w:type="dxa"/>
              <w:right w:w="150" w:type="dxa"/>
            </w:tcMar>
            <w:vAlign w:val="bottom"/>
            <w:hideMark/>
          </w:tcPr>
          <w:p w14:paraId="455A91B9" w14:textId="77777777" w:rsidR="00C932DC" w:rsidRPr="00EC5541" w:rsidRDefault="00C932DC" w:rsidP="00C932DC">
            <w:pPr>
              <w:spacing w:after="0"/>
            </w:pPr>
            <w:r w:rsidRPr="00EC5541">
              <w:t>0,69</w:t>
            </w:r>
          </w:p>
        </w:tc>
        <w:tc>
          <w:tcPr>
            <w:tcW w:w="0" w:type="auto"/>
            <w:tcMar>
              <w:top w:w="150" w:type="dxa"/>
              <w:left w:w="150" w:type="dxa"/>
              <w:bottom w:w="150" w:type="dxa"/>
              <w:right w:w="150" w:type="dxa"/>
            </w:tcMar>
            <w:vAlign w:val="bottom"/>
            <w:hideMark/>
          </w:tcPr>
          <w:p w14:paraId="3E953C60" w14:textId="77777777" w:rsidR="00C932DC" w:rsidRPr="00EC5541" w:rsidRDefault="00C932DC" w:rsidP="00C932DC">
            <w:pPr>
              <w:spacing w:after="0"/>
            </w:pPr>
            <w:r w:rsidRPr="00EC5541">
              <w:t>0,68</w:t>
            </w:r>
          </w:p>
        </w:tc>
      </w:tr>
      <w:tr w:rsidR="00C932DC" w:rsidRPr="00EC5541" w14:paraId="1EF20929" w14:textId="77777777" w:rsidTr="009F6485">
        <w:tc>
          <w:tcPr>
            <w:tcW w:w="0" w:type="auto"/>
            <w:tcMar>
              <w:top w:w="150" w:type="dxa"/>
              <w:left w:w="150" w:type="dxa"/>
              <w:bottom w:w="150" w:type="dxa"/>
              <w:right w:w="150" w:type="dxa"/>
            </w:tcMar>
            <w:vAlign w:val="bottom"/>
            <w:hideMark/>
          </w:tcPr>
          <w:p w14:paraId="12C66DA8" w14:textId="3F84C10D" w:rsidR="00C932DC" w:rsidRPr="00EC5541" w:rsidRDefault="00C932DC" w:rsidP="00C932DC">
            <w:pPr>
              <w:spacing w:after="0"/>
            </w:pPr>
            <w:r>
              <w:t>Performance</w:t>
            </w:r>
            <w:r w:rsidRPr="00EC5541">
              <w:t>_B</w:t>
            </w:r>
            <w:r>
              <w:t>usiness</w:t>
            </w:r>
          </w:p>
        </w:tc>
        <w:tc>
          <w:tcPr>
            <w:tcW w:w="0" w:type="auto"/>
            <w:tcMar>
              <w:top w:w="150" w:type="dxa"/>
              <w:left w:w="150" w:type="dxa"/>
              <w:bottom w:w="150" w:type="dxa"/>
              <w:right w:w="150" w:type="dxa"/>
            </w:tcMar>
            <w:vAlign w:val="bottom"/>
            <w:hideMark/>
          </w:tcPr>
          <w:p w14:paraId="616981E6" w14:textId="77777777" w:rsidR="00C932DC" w:rsidRPr="00EC5541" w:rsidRDefault="00C932DC" w:rsidP="00C932DC">
            <w:pPr>
              <w:spacing w:after="0"/>
            </w:pPr>
            <w:r w:rsidRPr="00EC5541">
              <w:t>0,85</w:t>
            </w:r>
          </w:p>
        </w:tc>
        <w:tc>
          <w:tcPr>
            <w:tcW w:w="0" w:type="auto"/>
            <w:tcMar>
              <w:top w:w="150" w:type="dxa"/>
              <w:left w:w="150" w:type="dxa"/>
              <w:bottom w:w="150" w:type="dxa"/>
              <w:right w:w="150" w:type="dxa"/>
            </w:tcMar>
            <w:vAlign w:val="bottom"/>
            <w:hideMark/>
          </w:tcPr>
          <w:p w14:paraId="27A9336A" w14:textId="77777777" w:rsidR="00C932DC" w:rsidRPr="00EC5541" w:rsidRDefault="00C932DC" w:rsidP="00C932DC">
            <w:pPr>
              <w:spacing w:after="0"/>
            </w:pPr>
            <w:r w:rsidRPr="00EC5541">
              <w:t>0,89</w:t>
            </w:r>
          </w:p>
        </w:tc>
        <w:tc>
          <w:tcPr>
            <w:tcW w:w="0" w:type="auto"/>
            <w:tcMar>
              <w:top w:w="150" w:type="dxa"/>
              <w:left w:w="150" w:type="dxa"/>
              <w:bottom w:w="150" w:type="dxa"/>
              <w:right w:w="150" w:type="dxa"/>
            </w:tcMar>
            <w:vAlign w:val="bottom"/>
            <w:hideMark/>
          </w:tcPr>
          <w:p w14:paraId="212641B3" w14:textId="77777777" w:rsidR="00C932DC" w:rsidRPr="00EC5541" w:rsidRDefault="00C932DC" w:rsidP="00C932DC">
            <w:pPr>
              <w:spacing w:after="0"/>
            </w:pPr>
            <w:r w:rsidRPr="00EC5541">
              <w:t>0,73</w:t>
            </w:r>
          </w:p>
        </w:tc>
        <w:tc>
          <w:tcPr>
            <w:tcW w:w="0" w:type="auto"/>
            <w:tcMar>
              <w:top w:w="150" w:type="dxa"/>
              <w:left w:w="150" w:type="dxa"/>
              <w:bottom w:w="150" w:type="dxa"/>
              <w:right w:w="150" w:type="dxa"/>
            </w:tcMar>
            <w:vAlign w:val="bottom"/>
            <w:hideMark/>
          </w:tcPr>
          <w:p w14:paraId="53B341D9" w14:textId="77777777" w:rsidR="00C932DC" w:rsidRPr="00EC5541" w:rsidRDefault="00C932DC" w:rsidP="00C932DC">
            <w:pPr>
              <w:spacing w:after="0"/>
            </w:pPr>
            <w:r w:rsidRPr="00EC5541">
              <w:t>0,71</w:t>
            </w:r>
          </w:p>
        </w:tc>
      </w:tr>
    </w:tbl>
    <w:p w14:paraId="45A397A6" w14:textId="77777777" w:rsidR="00C932DC" w:rsidRDefault="00C932DC" w:rsidP="00C932DC">
      <w:r>
        <w:t>Source: JASP 0.18 output (processed by the author, 2024)</w:t>
      </w:r>
    </w:p>
    <w:p w14:paraId="2FFDA10F" w14:textId="77777777" w:rsidR="00C932DC" w:rsidRDefault="00C932DC" w:rsidP="00C932DC"/>
    <w:p w14:paraId="3018898D" w14:textId="77777777" w:rsidR="00C932DC" w:rsidRPr="00C932DC" w:rsidRDefault="00C932DC" w:rsidP="00C932DC">
      <w:pPr>
        <w:rPr>
          <w:b/>
          <w:bCs/>
        </w:rPr>
      </w:pPr>
      <w:r w:rsidRPr="00C932DC">
        <w:rPr>
          <w:b/>
          <w:bCs/>
        </w:rPr>
        <w:t>4.2. Goodness-of-Fit of the Structural Model</w:t>
      </w:r>
    </w:p>
    <w:p w14:paraId="3861BC8A" w14:textId="77777777" w:rsidR="00C932DC" w:rsidRDefault="00C932DC" w:rsidP="00C932DC">
      <w:pPr>
        <w:jc w:val="both"/>
        <w:rPr>
          <w:rFonts w:hint="eastAsia"/>
        </w:rPr>
      </w:pPr>
      <w:r>
        <w:t xml:space="preserve">The next step was to evaluate the adequacy of the structural model. The goodness-of-fit test results in Table 4.2 indicate excellent model fit. The χ²/df value = 1.13 (&lt;3.00) indicates good fit. Furthermore, the CFI = 0.993 and TLI = 0.996 both exceed the </w:t>
      </w:r>
      <w:r>
        <w:rPr>
          <w:rFonts w:hint="eastAsia"/>
        </w:rPr>
        <w:t>≥</w:t>
      </w:r>
      <w:r>
        <w:rPr>
          <w:rFonts w:hint="eastAsia"/>
        </w:rPr>
        <w:t xml:space="preserve"> 0.95 criterion, thus meeting the standards for excellent fit (Hu &amp; Bentler, 1999). The RMSEA = 0.021 with a 90% CI of 0.000</w:t>
      </w:r>
      <w:r>
        <w:rPr>
          <w:rFonts w:hint="eastAsia"/>
        </w:rPr>
        <w:t>–</w:t>
      </w:r>
      <w:r>
        <w:rPr>
          <w:rFonts w:hint="eastAsia"/>
        </w:rPr>
        <w:t>0.085, and the SRMR = 0.018 (&lt;0.08), also indicate very adequate model fit (Bentler, 1990).</w:t>
      </w:r>
    </w:p>
    <w:p w14:paraId="188ADD91" w14:textId="77777777" w:rsidR="00C932DC" w:rsidRDefault="00C932DC" w:rsidP="00C932DC">
      <w:pPr>
        <w:jc w:val="both"/>
      </w:pPr>
      <w:r>
        <w:t>Overall, the combination of various fit indices indicates that the estimated model represents the data very well.</w:t>
      </w:r>
    </w:p>
    <w:p w14:paraId="31CB94B7" w14:textId="2262B894" w:rsidR="00C932DC" w:rsidRDefault="00C932DC" w:rsidP="00C932DC">
      <w:r w:rsidRPr="00C932DC">
        <w:rPr>
          <w:b/>
          <w:bCs/>
        </w:rPr>
        <w:t>Table 4.2.</w:t>
      </w:r>
      <w:r>
        <w:t xml:space="preserve"> Model Fit Indices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1"/>
        <w:gridCol w:w="801"/>
        <w:gridCol w:w="974"/>
        <w:gridCol w:w="748"/>
      </w:tblGrid>
      <w:tr w:rsidR="00C932DC" w:rsidRPr="00EC5541" w14:paraId="53402EC0" w14:textId="77777777" w:rsidTr="009F6485">
        <w:trPr>
          <w:tblHeader/>
        </w:trPr>
        <w:tc>
          <w:tcPr>
            <w:tcW w:w="0" w:type="auto"/>
            <w:tcMar>
              <w:top w:w="150" w:type="dxa"/>
              <w:left w:w="150" w:type="dxa"/>
              <w:bottom w:w="150" w:type="dxa"/>
              <w:right w:w="150" w:type="dxa"/>
            </w:tcMar>
            <w:vAlign w:val="bottom"/>
            <w:hideMark/>
          </w:tcPr>
          <w:p w14:paraId="02EFEBC9" w14:textId="183151EF" w:rsidR="00C932DC" w:rsidRPr="00EC5541" w:rsidRDefault="00C932DC" w:rsidP="00C932DC">
            <w:pPr>
              <w:spacing w:after="0"/>
              <w:rPr>
                <w:b/>
                <w:bCs/>
              </w:rPr>
            </w:pPr>
            <w:r>
              <w:rPr>
                <w:b/>
                <w:bCs/>
              </w:rPr>
              <w:t>Index</w:t>
            </w:r>
          </w:p>
        </w:tc>
        <w:tc>
          <w:tcPr>
            <w:tcW w:w="0" w:type="auto"/>
            <w:tcMar>
              <w:top w:w="150" w:type="dxa"/>
              <w:left w:w="150" w:type="dxa"/>
              <w:bottom w:w="150" w:type="dxa"/>
              <w:right w:w="150" w:type="dxa"/>
            </w:tcMar>
            <w:vAlign w:val="bottom"/>
            <w:hideMark/>
          </w:tcPr>
          <w:p w14:paraId="49353B9C" w14:textId="2C83A4DA" w:rsidR="00C932DC" w:rsidRPr="00EC5541" w:rsidRDefault="00C932DC" w:rsidP="00C932DC">
            <w:pPr>
              <w:spacing w:after="0"/>
              <w:rPr>
                <w:b/>
                <w:bCs/>
              </w:rPr>
            </w:pPr>
            <w:r>
              <w:rPr>
                <w:b/>
                <w:bCs/>
              </w:rPr>
              <w:t>Score</w:t>
            </w:r>
          </w:p>
        </w:tc>
        <w:tc>
          <w:tcPr>
            <w:tcW w:w="0" w:type="auto"/>
            <w:tcMar>
              <w:top w:w="150" w:type="dxa"/>
              <w:left w:w="150" w:type="dxa"/>
              <w:bottom w:w="150" w:type="dxa"/>
              <w:right w:w="150" w:type="dxa"/>
            </w:tcMar>
            <w:vAlign w:val="bottom"/>
            <w:hideMark/>
          </w:tcPr>
          <w:p w14:paraId="1A3CB55B" w14:textId="62491B25" w:rsidR="00C932DC" w:rsidRPr="00EC5541" w:rsidRDefault="00C932DC" w:rsidP="00C932DC">
            <w:pPr>
              <w:spacing w:after="0"/>
              <w:rPr>
                <w:b/>
                <w:bCs/>
              </w:rPr>
            </w:pPr>
            <w:r>
              <w:rPr>
                <w:b/>
                <w:bCs/>
              </w:rPr>
              <w:t>Criteria</w:t>
            </w:r>
          </w:p>
        </w:tc>
        <w:tc>
          <w:tcPr>
            <w:tcW w:w="0" w:type="auto"/>
            <w:tcMar>
              <w:top w:w="150" w:type="dxa"/>
              <w:left w:w="150" w:type="dxa"/>
              <w:bottom w:w="150" w:type="dxa"/>
              <w:right w:w="150" w:type="dxa"/>
            </w:tcMar>
            <w:vAlign w:val="bottom"/>
            <w:hideMark/>
          </w:tcPr>
          <w:p w14:paraId="26061AD5" w14:textId="15F78AEA" w:rsidR="00C932DC" w:rsidRPr="00EC5541" w:rsidRDefault="00C932DC" w:rsidP="00C932DC">
            <w:pPr>
              <w:spacing w:after="0"/>
              <w:rPr>
                <w:b/>
                <w:bCs/>
              </w:rPr>
            </w:pPr>
            <w:r>
              <w:rPr>
                <w:b/>
                <w:bCs/>
              </w:rPr>
              <w:t>Note</w:t>
            </w:r>
          </w:p>
        </w:tc>
      </w:tr>
      <w:tr w:rsidR="00C932DC" w:rsidRPr="00EC5541" w14:paraId="6348AB6B" w14:textId="77777777" w:rsidTr="009F6485">
        <w:tc>
          <w:tcPr>
            <w:tcW w:w="0" w:type="auto"/>
            <w:tcMar>
              <w:top w:w="150" w:type="dxa"/>
              <w:left w:w="150" w:type="dxa"/>
              <w:bottom w:w="150" w:type="dxa"/>
              <w:right w:w="150" w:type="dxa"/>
            </w:tcMar>
            <w:vAlign w:val="bottom"/>
            <w:hideMark/>
          </w:tcPr>
          <w:p w14:paraId="604E5FA1" w14:textId="77777777" w:rsidR="00C932DC" w:rsidRPr="00EC5541" w:rsidRDefault="00C932DC" w:rsidP="00C932DC">
            <w:pPr>
              <w:spacing w:after="0"/>
            </w:pPr>
            <w:r w:rsidRPr="00EC5541">
              <w:t>χ²/df</w:t>
            </w:r>
          </w:p>
        </w:tc>
        <w:tc>
          <w:tcPr>
            <w:tcW w:w="0" w:type="auto"/>
            <w:tcMar>
              <w:top w:w="150" w:type="dxa"/>
              <w:left w:w="150" w:type="dxa"/>
              <w:bottom w:w="150" w:type="dxa"/>
              <w:right w:w="150" w:type="dxa"/>
            </w:tcMar>
            <w:vAlign w:val="bottom"/>
            <w:hideMark/>
          </w:tcPr>
          <w:p w14:paraId="39B78233" w14:textId="77777777" w:rsidR="00C932DC" w:rsidRPr="00EC5541" w:rsidRDefault="00C932DC" w:rsidP="00C932DC">
            <w:pPr>
              <w:spacing w:after="0"/>
            </w:pPr>
            <w:r w:rsidRPr="00EC5541">
              <w:t>1,13</w:t>
            </w:r>
          </w:p>
        </w:tc>
        <w:tc>
          <w:tcPr>
            <w:tcW w:w="0" w:type="auto"/>
            <w:tcMar>
              <w:top w:w="150" w:type="dxa"/>
              <w:left w:w="150" w:type="dxa"/>
              <w:bottom w:w="150" w:type="dxa"/>
              <w:right w:w="150" w:type="dxa"/>
            </w:tcMar>
            <w:vAlign w:val="bottom"/>
            <w:hideMark/>
          </w:tcPr>
          <w:p w14:paraId="500AA8C8" w14:textId="77777777" w:rsidR="00C932DC" w:rsidRPr="00EC5541" w:rsidRDefault="00C932DC" w:rsidP="00C932DC">
            <w:pPr>
              <w:spacing w:after="0"/>
            </w:pPr>
            <w:r w:rsidRPr="00EC5541">
              <w:t>&lt; 3,00</w:t>
            </w:r>
          </w:p>
        </w:tc>
        <w:tc>
          <w:tcPr>
            <w:tcW w:w="0" w:type="auto"/>
            <w:tcMar>
              <w:top w:w="150" w:type="dxa"/>
              <w:left w:w="150" w:type="dxa"/>
              <w:bottom w:w="150" w:type="dxa"/>
              <w:right w:w="150" w:type="dxa"/>
            </w:tcMar>
            <w:vAlign w:val="bottom"/>
            <w:hideMark/>
          </w:tcPr>
          <w:p w14:paraId="43F9DAB8" w14:textId="77777777" w:rsidR="00C932DC" w:rsidRPr="00EC5541" w:rsidRDefault="00C932DC" w:rsidP="00C932DC">
            <w:pPr>
              <w:spacing w:after="0"/>
            </w:pPr>
            <w:r w:rsidRPr="00EC5541">
              <w:t>Baik</w:t>
            </w:r>
          </w:p>
        </w:tc>
      </w:tr>
      <w:tr w:rsidR="00C932DC" w:rsidRPr="00EC5541" w14:paraId="684318DF" w14:textId="77777777" w:rsidTr="009F6485">
        <w:tc>
          <w:tcPr>
            <w:tcW w:w="0" w:type="auto"/>
            <w:tcMar>
              <w:top w:w="150" w:type="dxa"/>
              <w:left w:w="150" w:type="dxa"/>
              <w:bottom w:w="150" w:type="dxa"/>
              <w:right w:w="150" w:type="dxa"/>
            </w:tcMar>
            <w:vAlign w:val="bottom"/>
            <w:hideMark/>
          </w:tcPr>
          <w:p w14:paraId="75E51B42" w14:textId="77777777" w:rsidR="00C932DC" w:rsidRPr="00EC5541" w:rsidRDefault="00C932DC" w:rsidP="00C932DC">
            <w:pPr>
              <w:spacing w:after="0"/>
            </w:pPr>
            <w:r w:rsidRPr="00EC5541">
              <w:t>CFI</w:t>
            </w:r>
          </w:p>
        </w:tc>
        <w:tc>
          <w:tcPr>
            <w:tcW w:w="0" w:type="auto"/>
            <w:tcMar>
              <w:top w:w="150" w:type="dxa"/>
              <w:left w:w="150" w:type="dxa"/>
              <w:bottom w:w="150" w:type="dxa"/>
              <w:right w:w="150" w:type="dxa"/>
            </w:tcMar>
            <w:vAlign w:val="bottom"/>
            <w:hideMark/>
          </w:tcPr>
          <w:p w14:paraId="7153A8B0" w14:textId="77777777" w:rsidR="00C932DC" w:rsidRPr="00EC5541" w:rsidRDefault="00C932DC" w:rsidP="00C932DC">
            <w:pPr>
              <w:spacing w:after="0"/>
            </w:pPr>
            <w:r w:rsidRPr="00EC5541">
              <w:t>0,993</w:t>
            </w:r>
          </w:p>
        </w:tc>
        <w:tc>
          <w:tcPr>
            <w:tcW w:w="0" w:type="auto"/>
            <w:tcMar>
              <w:top w:w="150" w:type="dxa"/>
              <w:left w:w="150" w:type="dxa"/>
              <w:bottom w:w="150" w:type="dxa"/>
              <w:right w:w="150" w:type="dxa"/>
            </w:tcMar>
            <w:vAlign w:val="bottom"/>
            <w:hideMark/>
          </w:tcPr>
          <w:p w14:paraId="317B4F91" w14:textId="77777777" w:rsidR="00C932DC" w:rsidRPr="00EC5541" w:rsidRDefault="00C932DC" w:rsidP="00C932DC">
            <w:pPr>
              <w:spacing w:after="0"/>
            </w:pPr>
            <w:r w:rsidRPr="00EC5541">
              <w:t>≥ 0,95</w:t>
            </w:r>
          </w:p>
        </w:tc>
        <w:tc>
          <w:tcPr>
            <w:tcW w:w="0" w:type="auto"/>
            <w:tcMar>
              <w:top w:w="150" w:type="dxa"/>
              <w:left w:w="150" w:type="dxa"/>
              <w:bottom w:w="150" w:type="dxa"/>
              <w:right w:w="150" w:type="dxa"/>
            </w:tcMar>
            <w:vAlign w:val="bottom"/>
            <w:hideMark/>
          </w:tcPr>
          <w:p w14:paraId="62A8293E" w14:textId="77777777" w:rsidR="00C932DC" w:rsidRPr="00EC5541" w:rsidRDefault="00C932DC" w:rsidP="00C932DC">
            <w:pPr>
              <w:spacing w:after="0"/>
            </w:pPr>
            <w:r w:rsidRPr="00EC5541">
              <w:t>Baik</w:t>
            </w:r>
          </w:p>
        </w:tc>
      </w:tr>
      <w:tr w:rsidR="00C932DC" w:rsidRPr="00EC5541" w14:paraId="233205E3" w14:textId="77777777" w:rsidTr="009F6485">
        <w:tc>
          <w:tcPr>
            <w:tcW w:w="0" w:type="auto"/>
            <w:tcMar>
              <w:top w:w="150" w:type="dxa"/>
              <w:left w:w="150" w:type="dxa"/>
              <w:bottom w:w="150" w:type="dxa"/>
              <w:right w:w="150" w:type="dxa"/>
            </w:tcMar>
            <w:vAlign w:val="bottom"/>
            <w:hideMark/>
          </w:tcPr>
          <w:p w14:paraId="711E0BAF" w14:textId="77777777" w:rsidR="00C932DC" w:rsidRPr="00EC5541" w:rsidRDefault="00C932DC" w:rsidP="00C932DC">
            <w:pPr>
              <w:spacing w:after="0"/>
            </w:pPr>
            <w:r w:rsidRPr="00EC5541">
              <w:t>TLI</w:t>
            </w:r>
          </w:p>
        </w:tc>
        <w:tc>
          <w:tcPr>
            <w:tcW w:w="0" w:type="auto"/>
            <w:tcMar>
              <w:top w:w="150" w:type="dxa"/>
              <w:left w:w="150" w:type="dxa"/>
              <w:bottom w:w="150" w:type="dxa"/>
              <w:right w:w="150" w:type="dxa"/>
            </w:tcMar>
            <w:vAlign w:val="bottom"/>
            <w:hideMark/>
          </w:tcPr>
          <w:p w14:paraId="28B32F43" w14:textId="77777777" w:rsidR="00C932DC" w:rsidRPr="00EC5541" w:rsidRDefault="00C932DC" w:rsidP="00C932DC">
            <w:pPr>
              <w:spacing w:after="0"/>
            </w:pPr>
            <w:r w:rsidRPr="00EC5541">
              <w:t>0,996</w:t>
            </w:r>
          </w:p>
        </w:tc>
        <w:tc>
          <w:tcPr>
            <w:tcW w:w="0" w:type="auto"/>
            <w:tcMar>
              <w:top w:w="150" w:type="dxa"/>
              <w:left w:w="150" w:type="dxa"/>
              <w:bottom w:w="150" w:type="dxa"/>
              <w:right w:w="150" w:type="dxa"/>
            </w:tcMar>
            <w:vAlign w:val="bottom"/>
            <w:hideMark/>
          </w:tcPr>
          <w:p w14:paraId="7D28EC63" w14:textId="77777777" w:rsidR="00C932DC" w:rsidRPr="00EC5541" w:rsidRDefault="00C932DC" w:rsidP="00C932DC">
            <w:pPr>
              <w:spacing w:after="0"/>
            </w:pPr>
            <w:r w:rsidRPr="00EC5541">
              <w:t>≥ 0,95</w:t>
            </w:r>
          </w:p>
        </w:tc>
        <w:tc>
          <w:tcPr>
            <w:tcW w:w="0" w:type="auto"/>
            <w:tcMar>
              <w:top w:w="150" w:type="dxa"/>
              <w:left w:w="150" w:type="dxa"/>
              <w:bottom w:w="150" w:type="dxa"/>
              <w:right w:w="150" w:type="dxa"/>
            </w:tcMar>
            <w:vAlign w:val="bottom"/>
            <w:hideMark/>
          </w:tcPr>
          <w:p w14:paraId="26018402" w14:textId="77777777" w:rsidR="00C932DC" w:rsidRPr="00EC5541" w:rsidRDefault="00C932DC" w:rsidP="00C932DC">
            <w:pPr>
              <w:spacing w:after="0"/>
            </w:pPr>
            <w:r w:rsidRPr="00EC5541">
              <w:t>Baik</w:t>
            </w:r>
          </w:p>
        </w:tc>
      </w:tr>
      <w:tr w:rsidR="00C932DC" w:rsidRPr="00EC5541" w14:paraId="0F8EE712" w14:textId="77777777" w:rsidTr="009F6485">
        <w:tc>
          <w:tcPr>
            <w:tcW w:w="0" w:type="auto"/>
            <w:tcMar>
              <w:top w:w="150" w:type="dxa"/>
              <w:left w:w="150" w:type="dxa"/>
              <w:bottom w:w="150" w:type="dxa"/>
              <w:right w:w="150" w:type="dxa"/>
            </w:tcMar>
            <w:vAlign w:val="bottom"/>
            <w:hideMark/>
          </w:tcPr>
          <w:p w14:paraId="5118A20A" w14:textId="77777777" w:rsidR="00C932DC" w:rsidRPr="00EC5541" w:rsidRDefault="00C932DC" w:rsidP="00C932DC">
            <w:pPr>
              <w:spacing w:after="0"/>
            </w:pPr>
            <w:r w:rsidRPr="00EC5541">
              <w:t>RMSEA</w:t>
            </w:r>
          </w:p>
        </w:tc>
        <w:tc>
          <w:tcPr>
            <w:tcW w:w="0" w:type="auto"/>
            <w:tcMar>
              <w:top w:w="150" w:type="dxa"/>
              <w:left w:w="150" w:type="dxa"/>
              <w:bottom w:w="150" w:type="dxa"/>
              <w:right w:w="150" w:type="dxa"/>
            </w:tcMar>
            <w:vAlign w:val="bottom"/>
            <w:hideMark/>
          </w:tcPr>
          <w:p w14:paraId="390D4BE6" w14:textId="77777777" w:rsidR="00C932DC" w:rsidRPr="00EC5541" w:rsidRDefault="00C932DC" w:rsidP="00C932DC">
            <w:pPr>
              <w:spacing w:after="0"/>
            </w:pPr>
            <w:r w:rsidRPr="00EC5541">
              <w:t>0,021</w:t>
            </w:r>
          </w:p>
        </w:tc>
        <w:tc>
          <w:tcPr>
            <w:tcW w:w="0" w:type="auto"/>
            <w:tcMar>
              <w:top w:w="150" w:type="dxa"/>
              <w:left w:w="150" w:type="dxa"/>
              <w:bottom w:w="150" w:type="dxa"/>
              <w:right w:w="150" w:type="dxa"/>
            </w:tcMar>
            <w:vAlign w:val="bottom"/>
            <w:hideMark/>
          </w:tcPr>
          <w:p w14:paraId="4E259078" w14:textId="77777777" w:rsidR="00C932DC" w:rsidRPr="00EC5541" w:rsidRDefault="00C932DC" w:rsidP="00C932DC">
            <w:pPr>
              <w:spacing w:after="0"/>
            </w:pPr>
            <w:r w:rsidRPr="00EC5541">
              <w:t>≤ 0,08</w:t>
            </w:r>
          </w:p>
        </w:tc>
        <w:tc>
          <w:tcPr>
            <w:tcW w:w="0" w:type="auto"/>
            <w:tcMar>
              <w:top w:w="150" w:type="dxa"/>
              <w:left w:w="150" w:type="dxa"/>
              <w:bottom w:w="150" w:type="dxa"/>
              <w:right w:w="150" w:type="dxa"/>
            </w:tcMar>
            <w:vAlign w:val="bottom"/>
            <w:hideMark/>
          </w:tcPr>
          <w:p w14:paraId="1224243D" w14:textId="77777777" w:rsidR="00C932DC" w:rsidRPr="00EC5541" w:rsidRDefault="00C932DC" w:rsidP="00C932DC">
            <w:pPr>
              <w:spacing w:after="0"/>
            </w:pPr>
            <w:r w:rsidRPr="00EC5541">
              <w:t>Baik</w:t>
            </w:r>
          </w:p>
        </w:tc>
      </w:tr>
      <w:tr w:rsidR="00C932DC" w:rsidRPr="00EC5541" w14:paraId="0523DD9E" w14:textId="77777777" w:rsidTr="009F6485">
        <w:tc>
          <w:tcPr>
            <w:tcW w:w="0" w:type="auto"/>
            <w:tcMar>
              <w:top w:w="150" w:type="dxa"/>
              <w:left w:w="150" w:type="dxa"/>
              <w:bottom w:w="150" w:type="dxa"/>
              <w:right w:w="150" w:type="dxa"/>
            </w:tcMar>
            <w:vAlign w:val="bottom"/>
            <w:hideMark/>
          </w:tcPr>
          <w:p w14:paraId="784345C6" w14:textId="77777777" w:rsidR="00C932DC" w:rsidRPr="00EC5541" w:rsidRDefault="00C932DC" w:rsidP="00C932DC">
            <w:pPr>
              <w:spacing w:after="0"/>
            </w:pPr>
            <w:r w:rsidRPr="00EC5541">
              <w:t>SRMR</w:t>
            </w:r>
          </w:p>
        </w:tc>
        <w:tc>
          <w:tcPr>
            <w:tcW w:w="0" w:type="auto"/>
            <w:tcMar>
              <w:top w:w="150" w:type="dxa"/>
              <w:left w:w="150" w:type="dxa"/>
              <w:bottom w:w="150" w:type="dxa"/>
              <w:right w:w="150" w:type="dxa"/>
            </w:tcMar>
            <w:vAlign w:val="bottom"/>
            <w:hideMark/>
          </w:tcPr>
          <w:p w14:paraId="47D8AB86" w14:textId="77777777" w:rsidR="00C932DC" w:rsidRPr="00EC5541" w:rsidRDefault="00C932DC" w:rsidP="00C932DC">
            <w:pPr>
              <w:spacing w:after="0"/>
            </w:pPr>
            <w:r w:rsidRPr="00EC5541">
              <w:t>0,018</w:t>
            </w:r>
          </w:p>
        </w:tc>
        <w:tc>
          <w:tcPr>
            <w:tcW w:w="0" w:type="auto"/>
            <w:tcMar>
              <w:top w:w="150" w:type="dxa"/>
              <w:left w:w="150" w:type="dxa"/>
              <w:bottom w:w="150" w:type="dxa"/>
              <w:right w:w="150" w:type="dxa"/>
            </w:tcMar>
            <w:vAlign w:val="bottom"/>
            <w:hideMark/>
          </w:tcPr>
          <w:p w14:paraId="5E39116A" w14:textId="77777777" w:rsidR="00C932DC" w:rsidRPr="00EC5541" w:rsidRDefault="00C932DC" w:rsidP="00C932DC">
            <w:pPr>
              <w:spacing w:after="0"/>
            </w:pPr>
            <w:r w:rsidRPr="00EC5541">
              <w:t>≤ 0,08</w:t>
            </w:r>
          </w:p>
        </w:tc>
        <w:tc>
          <w:tcPr>
            <w:tcW w:w="0" w:type="auto"/>
            <w:tcMar>
              <w:top w:w="150" w:type="dxa"/>
              <w:left w:w="150" w:type="dxa"/>
              <w:bottom w:w="150" w:type="dxa"/>
              <w:right w:w="150" w:type="dxa"/>
            </w:tcMar>
            <w:vAlign w:val="bottom"/>
            <w:hideMark/>
          </w:tcPr>
          <w:p w14:paraId="4E5DF243" w14:textId="77777777" w:rsidR="00C932DC" w:rsidRPr="00EC5541" w:rsidRDefault="00C932DC" w:rsidP="00C932DC">
            <w:pPr>
              <w:spacing w:after="0"/>
            </w:pPr>
            <w:r w:rsidRPr="00EC5541">
              <w:t>Baik</w:t>
            </w:r>
          </w:p>
        </w:tc>
      </w:tr>
    </w:tbl>
    <w:p w14:paraId="0E485D7B" w14:textId="77777777" w:rsidR="002E615B" w:rsidRPr="002E615B" w:rsidRDefault="002E615B" w:rsidP="002E615B">
      <w:r w:rsidRPr="002E615B">
        <w:t>Source: JASP 0.18 output (processed by the author, 2024)</w:t>
      </w:r>
    </w:p>
    <w:p w14:paraId="0936F68D" w14:textId="77777777" w:rsidR="002E615B" w:rsidRPr="002E615B" w:rsidRDefault="002E615B" w:rsidP="002E615B"/>
    <w:p w14:paraId="1C9D41E9" w14:textId="77777777" w:rsidR="002E615B" w:rsidRPr="002E615B" w:rsidRDefault="002E615B" w:rsidP="002E615B">
      <w:pPr>
        <w:rPr>
          <w:b/>
          <w:bCs/>
        </w:rPr>
      </w:pPr>
      <w:r w:rsidRPr="002E615B">
        <w:rPr>
          <w:b/>
          <w:bCs/>
        </w:rPr>
        <w:t>4.3. Hypothesis Testing (Path Coefficients)</w:t>
      </w:r>
    </w:p>
    <w:p w14:paraId="57F65472" w14:textId="77777777" w:rsidR="002E615B" w:rsidRPr="002E615B" w:rsidRDefault="002E615B" w:rsidP="002E615B">
      <w:pPr>
        <w:jc w:val="both"/>
      </w:pPr>
      <w:r w:rsidRPr="002E615B">
        <w:t>After confirming the suitability of the model, hypothesis testing was conducted with a focus on path coefficients. The results (Table 4.3) show that:</w:t>
      </w:r>
    </w:p>
    <w:p w14:paraId="20127A39" w14:textId="57A4C1D4" w:rsidR="002E615B" w:rsidRPr="002E615B" w:rsidRDefault="002E615B" w:rsidP="002E615B">
      <w:pPr>
        <w:pStyle w:val="ListParagraph"/>
        <w:numPr>
          <w:ilvl w:val="0"/>
          <w:numId w:val="2"/>
        </w:numPr>
      </w:pPr>
      <w:r w:rsidRPr="002E615B">
        <w:t xml:space="preserve">H1: The path from AI_Usage → Business_Performance produced a coefficient of β = 0.085 with p = 0.113. This effect is not significant, so the intensity of AI usage has not been proven to directly improve the business performance of MSMEs in Jakarta. This finding is consistent with the study </w:t>
      </w:r>
      <w:r w:rsidRPr="002E615B">
        <w:lastRenderedPageBreak/>
        <w:t>by Duan et al. (2019), which emphasizes the importance of complementary assets for AI usage to truly create value.</w:t>
      </w:r>
    </w:p>
    <w:p w14:paraId="7FE7AA41" w14:textId="2187F8EB" w:rsidR="002E615B" w:rsidRPr="002E615B" w:rsidRDefault="002E615B" w:rsidP="002E615B">
      <w:pPr>
        <w:pStyle w:val="ListParagraph"/>
        <w:numPr>
          <w:ilvl w:val="0"/>
          <w:numId w:val="2"/>
        </w:numPr>
      </w:pPr>
      <w:r w:rsidRPr="002E615B">
        <w:t>The effect of company size on performance: both small SMEs (β = 0.446, p &lt; 0.001) and medium-sized SMEs (β = 0.548, p &lt; 0.001) have a significant positive effect on business performance. This supports the literature that firm size is directly related to the capacity to achieve performance through technology adoption (Hermanto et al., 2024; Wang &amp; Zhang, 2025).</w:t>
      </w:r>
    </w:p>
    <w:p w14:paraId="757B7FBD" w14:textId="2FC70559" w:rsidR="002E615B" w:rsidRPr="002E615B" w:rsidRDefault="002E615B" w:rsidP="002E615B">
      <w:pPr>
        <w:pStyle w:val="ListParagraph"/>
        <w:numPr>
          <w:ilvl w:val="0"/>
          <w:numId w:val="2"/>
        </w:numPr>
      </w:pPr>
      <w:r w:rsidRPr="002E615B">
        <w:t>The effect of firm size on AI usage: Small SMEs show a significant influence on the intensity of AI usage (β = 0.269, p &lt; 0.001). Conversely, in medium SMEs, the effect is not significant (β = 0.091, p = 0.181), indicating that AI usage is not solely influenced by size, but also by other factors such as resource readiness and organizational culture.</w:t>
      </w:r>
    </w:p>
    <w:p w14:paraId="1DE066E1" w14:textId="77777777" w:rsidR="002E615B" w:rsidRPr="002E615B" w:rsidRDefault="002E615B" w:rsidP="002E615B">
      <w:r w:rsidRPr="002E615B">
        <w:rPr>
          <w:b/>
          <w:bCs/>
        </w:rPr>
        <w:t>Table 4.3.</w:t>
      </w:r>
      <w:r w:rsidRPr="002E615B">
        <w:t xml:space="preserve"> Summary of Path Coefficients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27"/>
        <w:gridCol w:w="801"/>
        <w:gridCol w:w="801"/>
        <w:gridCol w:w="801"/>
        <w:gridCol w:w="896"/>
        <w:gridCol w:w="1335"/>
        <w:gridCol w:w="1489"/>
      </w:tblGrid>
      <w:tr w:rsidR="002E615B" w:rsidRPr="00EC5541" w14:paraId="6B4EEF7A" w14:textId="77777777" w:rsidTr="009F6485">
        <w:trPr>
          <w:tblHeader/>
        </w:trPr>
        <w:tc>
          <w:tcPr>
            <w:tcW w:w="0" w:type="auto"/>
            <w:tcMar>
              <w:top w:w="150" w:type="dxa"/>
              <w:left w:w="150" w:type="dxa"/>
              <w:bottom w:w="150" w:type="dxa"/>
              <w:right w:w="150" w:type="dxa"/>
            </w:tcMar>
            <w:vAlign w:val="bottom"/>
            <w:hideMark/>
          </w:tcPr>
          <w:p w14:paraId="3A552B4B" w14:textId="3C814E56" w:rsidR="002E615B" w:rsidRPr="00EC5541" w:rsidRDefault="002E615B" w:rsidP="002E615B">
            <w:pPr>
              <w:spacing w:after="0"/>
              <w:jc w:val="center"/>
              <w:rPr>
                <w:b/>
                <w:bCs/>
              </w:rPr>
            </w:pPr>
            <w:r>
              <w:rPr>
                <w:b/>
                <w:bCs/>
              </w:rPr>
              <w:t>Path</w:t>
            </w:r>
          </w:p>
        </w:tc>
        <w:tc>
          <w:tcPr>
            <w:tcW w:w="0" w:type="auto"/>
            <w:tcMar>
              <w:top w:w="150" w:type="dxa"/>
              <w:left w:w="150" w:type="dxa"/>
              <w:bottom w:w="150" w:type="dxa"/>
              <w:right w:w="150" w:type="dxa"/>
            </w:tcMar>
            <w:vAlign w:val="bottom"/>
            <w:hideMark/>
          </w:tcPr>
          <w:p w14:paraId="706AAC0B" w14:textId="77777777" w:rsidR="002E615B" w:rsidRPr="00EC5541" w:rsidRDefault="002E615B" w:rsidP="002E615B">
            <w:pPr>
              <w:spacing w:after="0"/>
              <w:jc w:val="center"/>
              <w:rPr>
                <w:b/>
                <w:bCs/>
              </w:rPr>
            </w:pPr>
            <w:r w:rsidRPr="00EC5541">
              <w:rPr>
                <w:b/>
                <w:bCs/>
              </w:rPr>
              <w:t>β</w:t>
            </w:r>
          </w:p>
        </w:tc>
        <w:tc>
          <w:tcPr>
            <w:tcW w:w="0" w:type="auto"/>
            <w:tcMar>
              <w:top w:w="150" w:type="dxa"/>
              <w:left w:w="150" w:type="dxa"/>
              <w:bottom w:w="150" w:type="dxa"/>
              <w:right w:w="150" w:type="dxa"/>
            </w:tcMar>
            <w:vAlign w:val="bottom"/>
            <w:hideMark/>
          </w:tcPr>
          <w:p w14:paraId="47570CFE" w14:textId="77777777" w:rsidR="002E615B" w:rsidRPr="00EC5541" w:rsidRDefault="002E615B" w:rsidP="002E615B">
            <w:pPr>
              <w:spacing w:after="0"/>
              <w:jc w:val="center"/>
              <w:rPr>
                <w:b/>
                <w:bCs/>
              </w:rPr>
            </w:pPr>
            <w:r w:rsidRPr="00EC5541">
              <w:rPr>
                <w:b/>
                <w:bCs/>
              </w:rPr>
              <w:t>SE</w:t>
            </w:r>
          </w:p>
        </w:tc>
        <w:tc>
          <w:tcPr>
            <w:tcW w:w="0" w:type="auto"/>
            <w:tcMar>
              <w:top w:w="150" w:type="dxa"/>
              <w:left w:w="150" w:type="dxa"/>
              <w:bottom w:w="150" w:type="dxa"/>
              <w:right w:w="150" w:type="dxa"/>
            </w:tcMar>
            <w:vAlign w:val="bottom"/>
            <w:hideMark/>
          </w:tcPr>
          <w:p w14:paraId="719A54CC" w14:textId="77777777" w:rsidR="002E615B" w:rsidRPr="00EC5541" w:rsidRDefault="002E615B" w:rsidP="002E615B">
            <w:pPr>
              <w:spacing w:after="0"/>
              <w:jc w:val="center"/>
              <w:rPr>
                <w:b/>
                <w:bCs/>
              </w:rPr>
            </w:pPr>
            <w:r w:rsidRPr="00EC5541">
              <w:rPr>
                <w:b/>
                <w:bCs/>
              </w:rPr>
              <w:t>z</w:t>
            </w:r>
          </w:p>
        </w:tc>
        <w:tc>
          <w:tcPr>
            <w:tcW w:w="0" w:type="auto"/>
            <w:tcMar>
              <w:top w:w="150" w:type="dxa"/>
              <w:left w:w="150" w:type="dxa"/>
              <w:bottom w:w="150" w:type="dxa"/>
              <w:right w:w="150" w:type="dxa"/>
            </w:tcMar>
            <w:vAlign w:val="bottom"/>
            <w:hideMark/>
          </w:tcPr>
          <w:p w14:paraId="48B3FEDC" w14:textId="77777777" w:rsidR="002E615B" w:rsidRPr="00EC5541" w:rsidRDefault="002E615B" w:rsidP="002E615B">
            <w:pPr>
              <w:spacing w:after="0"/>
              <w:jc w:val="center"/>
              <w:rPr>
                <w:b/>
                <w:bCs/>
              </w:rPr>
            </w:pPr>
            <w:r w:rsidRPr="00EC5541">
              <w:rPr>
                <w:b/>
                <w:bCs/>
              </w:rPr>
              <w:t>p</w:t>
            </w:r>
          </w:p>
        </w:tc>
        <w:tc>
          <w:tcPr>
            <w:tcW w:w="0" w:type="auto"/>
            <w:tcMar>
              <w:top w:w="150" w:type="dxa"/>
              <w:left w:w="150" w:type="dxa"/>
              <w:bottom w:w="150" w:type="dxa"/>
              <w:right w:w="150" w:type="dxa"/>
            </w:tcMar>
            <w:vAlign w:val="bottom"/>
            <w:hideMark/>
          </w:tcPr>
          <w:p w14:paraId="3C45155D" w14:textId="77777777" w:rsidR="002E615B" w:rsidRPr="00EC5541" w:rsidRDefault="002E615B" w:rsidP="002E615B">
            <w:pPr>
              <w:spacing w:after="0"/>
              <w:jc w:val="center"/>
              <w:rPr>
                <w:b/>
                <w:bCs/>
              </w:rPr>
            </w:pPr>
            <w:r w:rsidRPr="00EC5541">
              <w:rPr>
                <w:b/>
                <w:bCs/>
              </w:rPr>
              <w:t>95 % CI</w:t>
            </w:r>
          </w:p>
        </w:tc>
        <w:tc>
          <w:tcPr>
            <w:tcW w:w="0" w:type="auto"/>
            <w:tcMar>
              <w:top w:w="150" w:type="dxa"/>
              <w:left w:w="150" w:type="dxa"/>
              <w:bottom w:w="150" w:type="dxa"/>
              <w:right w:w="150" w:type="dxa"/>
            </w:tcMar>
            <w:vAlign w:val="bottom"/>
            <w:hideMark/>
          </w:tcPr>
          <w:p w14:paraId="415169A6" w14:textId="762CEC26" w:rsidR="002E615B" w:rsidRPr="00EC5541" w:rsidRDefault="002E615B" w:rsidP="002E615B">
            <w:pPr>
              <w:spacing w:after="0"/>
              <w:jc w:val="center"/>
              <w:rPr>
                <w:b/>
                <w:bCs/>
              </w:rPr>
            </w:pPr>
            <w:r>
              <w:rPr>
                <w:b/>
                <w:bCs/>
              </w:rPr>
              <w:t>Description</w:t>
            </w:r>
          </w:p>
        </w:tc>
      </w:tr>
      <w:tr w:rsidR="002E615B" w:rsidRPr="00EC5541" w14:paraId="5226B15C" w14:textId="77777777" w:rsidTr="009F6485">
        <w:tc>
          <w:tcPr>
            <w:tcW w:w="0" w:type="auto"/>
            <w:tcMar>
              <w:top w:w="150" w:type="dxa"/>
              <w:left w:w="150" w:type="dxa"/>
              <w:bottom w:w="150" w:type="dxa"/>
              <w:right w:w="150" w:type="dxa"/>
            </w:tcMar>
            <w:vAlign w:val="bottom"/>
            <w:hideMark/>
          </w:tcPr>
          <w:p w14:paraId="4E4603EB" w14:textId="00876DE9" w:rsidR="002E615B" w:rsidRPr="00EC5541" w:rsidRDefault="002E615B" w:rsidP="002E615B">
            <w:pPr>
              <w:spacing w:after="0"/>
            </w:pPr>
            <w:r>
              <w:rPr>
                <w:rFonts w:hint="eastAsia"/>
              </w:rPr>
              <w:t xml:space="preserve">H1: AI_Usage </w:t>
            </w:r>
            <w:r>
              <w:rPr>
                <w:rFonts w:hint="eastAsia"/>
              </w:rPr>
              <w:t>→</w:t>
            </w:r>
            <w:r>
              <w:rPr>
                <w:rFonts w:hint="eastAsia"/>
              </w:rPr>
              <w:t xml:space="preserve"> Business_Performance</w:t>
            </w:r>
          </w:p>
        </w:tc>
        <w:tc>
          <w:tcPr>
            <w:tcW w:w="0" w:type="auto"/>
            <w:tcMar>
              <w:top w:w="150" w:type="dxa"/>
              <w:left w:w="150" w:type="dxa"/>
              <w:bottom w:w="150" w:type="dxa"/>
              <w:right w:w="150" w:type="dxa"/>
            </w:tcMar>
            <w:vAlign w:val="bottom"/>
            <w:hideMark/>
          </w:tcPr>
          <w:p w14:paraId="6F113E16" w14:textId="77777777" w:rsidR="002E615B" w:rsidRPr="00EC5541" w:rsidRDefault="002E615B" w:rsidP="002E615B">
            <w:pPr>
              <w:spacing w:after="0"/>
            </w:pPr>
            <w:r w:rsidRPr="00EC5541">
              <w:t>0,085</w:t>
            </w:r>
          </w:p>
        </w:tc>
        <w:tc>
          <w:tcPr>
            <w:tcW w:w="0" w:type="auto"/>
            <w:tcMar>
              <w:top w:w="150" w:type="dxa"/>
              <w:left w:w="150" w:type="dxa"/>
              <w:bottom w:w="150" w:type="dxa"/>
              <w:right w:w="150" w:type="dxa"/>
            </w:tcMar>
            <w:vAlign w:val="bottom"/>
            <w:hideMark/>
          </w:tcPr>
          <w:p w14:paraId="0387CB88" w14:textId="77777777" w:rsidR="002E615B" w:rsidRPr="00EC5541" w:rsidRDefault="002E615B" w:rsidP="002E615B">
            <w:pPr>
              <w:spacing w:after="0"/>
            </w:pPr>
            <w:r w:rsidRPr="00EC5541">
              <w:t>0,053</w:t>
            </w:r>
          </w:p>
        </w:tc>
        <w:tc>
          <w:tcPr>
            <w:tcW w:w="0" w:type="auto"/>
            <w:tcMar>
              <w:top w:w="150" w:type="dxa"/>
              <w:left w:w="150" w:type="dxa"/>
              <w:bottom w:w="150" w:type="dxa"/>
              <w:right w:w="150" w:type="dxa"/>
            </w:tcMar>
            <w:vAlign w:val="bottom"/>
            <w:hideMark/>
          </w:tcPr>
          <w:p w14:paraId="0B97C580" w14:textId="77777777" w:rsidR="002E615B" w:rsidRPr="00EC5541" w:rsidRDefault="002E615B" w:rsidP="002E615B">
            <w:pPr>
              <w:spacing w:after="0"/>
            </w:pPr>
            <w:r w:rsidRPr="00EC5541">
              <w:t>1,60</w:t>
            </w:r>
          </w:p>
        </w:tc>
        <w:tc>
          <w:tcPr>
            <w:tcW w:w="0" w:type="auto"/>
            <w:tcMar>
              <w:top w:w="150" w:type="dxa"/>
              <w:left w:w="150" w:type="dxa"/>
              <w:bottom w:w="150" w:type="dxa"/>
              <w:right w:w="150" w:type="dxa"/>
            </w:tcMar>
            <w:vAlign w:val="bottom"/>
            <w:hideMark/>
          </w:tcPr>
          <w:p w14:paraId="58806F9A" w14:textId="77777777" w:rsidR="002E615B" w:rsidRPr="00EC5541" w:rsidRDefault="002E615B" w:rsidP="002E615B">
            <w:pPr>
              <w:spacing w:after="0"/>
            </w:pPr>
            <w:r w:rsidRPr="00EC5541">
              <w:t>0,113</w:t>
            </w:r>
          </w:p>
        </w:tc>
        <w:tc>
          <w:tcPr>
            <w:tcW w:w="0" w:type="auto"/>
            <w:tcMar>
              <w:top w:w="150" w:type="dxa"/>
              <w:left w:w="150" w:type="dxa"/>
              <w:bottom w:w="150" w:type="dxa"/>
              <w:right w:w="150" w:type="dxa"/>
            </w:tcMar>
            <w:vAlign w:val="bottom"/>
            <w:hideMark/>
          </w:tcPr>
          <w:p w14:paraId="52465850" w14:textId="77777777" w:rsidR="002E615B" w:rsidRPr="00EC5541" w:rsidRDefault="002E615B" w:rsidP="002E615B">
            <w:pPr>
              <w:spacing w:after="0"/>
            </w:pPr>
            <w:r w:rsidRPr="00EC5541">
              <w:t>[-0,020; 0,189]</w:t>
            </w:r>
          </w:p>
        </w:tc>
        <w:tc>
          <w:tcPr>
            <w:tcW w:w="0" w:type="auto"/>
            <w:tcMar>
              <w:top w:w="150" w:type="dxa"/>
              <w:left w:w="150" w:type="dxa"/>
              <w:bottom w:w="150" w:type="dxa"/>
              <w:right w:w="150" w:type="dxa"/>
            </w:tcMar>
            <w:vAlign w:val="bottom"/>
            <w:hideMark/>
          </w:tcPr>
          <w:p w14:paraId="6FB6C815" w14:textId="7383596E" w:rsidR="002E615B" w:rsidRPr="00EC5541" w:rsidRDefault="002E615B" w:rsidP="002E615B">
            <w:pPr>
              <w:spacing w:after="0"/>
              <w:jc w:val="center"/>
            </w:pPr>
            <w:r>
              <w:rPr>
                <w:rFonts w:hint="eastAsia"/>
              </w:rPr>
              <w:t>Not significant</w:t>
            </w:r>
          </w:p>
        </w:tc>
      </w:tr>
      <w:tr w:rsidR="002E615B" w:rsidRPr="00EC5541" w14:paraId="515B40F2" w14:textId="77777777" w:rsidTr="009F6485">
        <w:tc>
          <w:tcPr>
            <w:tcW w:w="0" w:type="auto"/>
            <w:tcMar>
              <w:top w:w="150" w:type="dxa"/>
              <w:left w:w="150" w:type="dxa"/>
              <w:bottom w:w="150" w:type="dxa"/>
              <w:right w:w="150" w:type="dxa"/>
            </w:tcMar>
            <w:vAlign w:val="bottom"/>
            <w:hideMark/>
          </w:tcPr>
          <w:p w14:paraId="316EE745" w14:textId="765BE52F" w:rsidR="002E615B" w:rsidRPr="00EC5541" w:rsidRDefault="002E615B" w:rsidP="002E615B">
            <w:pPr>
              <w:spacing w:after="0"/>
            </w:pPr>
            <w:r>
              <w:rPr>
                <w:rFonts w:hint="eastAsia"/>
              </w:rPr>
              <w:t xml:space="preserve">Small </w:t>
            </w:r>
            <w:r>
              <w:rPr>
                <w:rFonts w:hint="eastAsia"/>
              </w:rPr>
              <w:t>→</w:t>
            </w:r>
            <w:r>
              <w:rPr>
                <w:rFonts w:hint="eastAsia"/>
              </w:rPr>
              <w:t xml:space="preserve"> Business_Performance</w:t>
            </w:r>
          </w:p>
        </w:tc>
        <w:tc>
          <w:tcPr>
            <w:tcW w:w="0" w:type="auto"/>
            <w:tcMar>
              <w:top w:w="150" w:type="dxa"/>
              <w:left w:w="150" w:type="dxa"/>
              <w:bottom w:w="150" w:type="dxa"/>
              <w:right w:w="150" w:type="dxa"/>
            </w:tcMar>
            <w:vAlign w:val="bottom"/>
            <w:hideMark/>
          </w:tcPr>
          <w:p w14:paraId="06AB1B89" w14:textId="77777777" w:rsidR="002E615B" w:rsidRPr="00EC5541" w:rsidRDefault="002E615B" w:rsidP="002E615B">
            <w:pPr>
              <w:spacing w:after="0"/>
            </w:pPr>
            <w:r w:rsidRPr="00EC5541">
              <w:t>0,446</w:t>
            </w:r>
          </w:p>
        </w:tc>
        <w:tc>
          <w:tcPr>
            <w:tcW w:w="0" w:type="auto"/>
            <w:tcMar>
              <w:top w:w="150" w:type="dxa"/>
              <w:left w:w="150" w:type="dxa"/>
              <w:bottom w:w="150" w:type="dxa"/>
              <w:right w:w="150" w:type="dxa"/>
            </w:tcMar>
            <w:vAlign w:val="bottom"/>
            <w:hideMark/>
          </w:tcPr>
          <w:p w14:paraId="6D4C0599" w14:textId="77777777" w:rsidR="002E615B" w:rsidRPr="00EC5541" w:rsidRDefault="002E615B" w:rsidP="002E615B">
            <w:pPr>
              <w:spacing w:after="0"/>
            </w:pPr>
            <w:r w:rsidRPr="00EC5541">
              <w:t>0,040</w:t>
            </w:r>
          </w:p>
        </w:tc>
        <w:tc>
          <w:tcPr>
            <w:tcW w:w="0" w:type="auto"/>
            <w:tcMar>
              <w:top w:w="150" w:type="dxa"/>
              <w:left w:w="150" w:type="dxa"/>
              <w:bottom w:w="150" w:type="dxa"/>
              <w:right w:w="150" w:type="dxa"/>
            </w:tcMar>
            <w:vAlign w:val="bottom"/>
            <w:hideMark/>
          </w:tcPr>
          <w:p w14:paraId="187FAC94" w14:textId="77777777" w:rsidR="002E615B" w:rsidRPr="00EC5541" w:rsidRDefault="002E615B" w:rsidP="002E615B">
            <w:pPr>
              <w:spacing w:after="0"/>
            </w:pPr>
            <w:r w:rsidRPr="00EC5541">
              <w:t>11,15</w:t>
            </w:r>
          </w:p>
        </w:tc>
        <w:tc>
          <w:tcPr>
            <w:tcW w:w="0" w:type="auto"/>
            <w:tcMar>
              <w:top w:w="150" w:type="dxa"/>
              <w:left w:w="150" w:type="dxa"/>
              <w:bottom w:w="150" w:type="dxa"/>
              <w:right w:w="150" w:type="dxa"/>
            </w:tcMar>
            <w:vAlign w:val="bottom"/>
            <w:hideMark/>
          </w:tcPr>
          <w:p w14:paraId="750C761D" w14:textId="77777777" w:rsidR="002E615B" w:rsidRPr="00EC5541" w:rsidRDefault="002E615B" w:rsidP="002E615B">
            <w:pPr>
              <w:spacing w:after="0"/>
            </w:pPr>
            <w:r w:rsidRPr="00EC5541">
              <w:t>&lt; 0,001</w:t>
            </w:r>
          </w:p>
        </w:tc>
        <w:tc>
          <w:tcPr>
            <w:tcW w:w="0" w:type="auto"/>
            <w:tcMar>
              <w:top w:w="150" w:type="dxa"/>
              <w:left w:w="150" w:type="dxa"/>
              <w:bottom w:w="150" w:type="dxa"/>
              <w:right w:w="150" w:type="dxa"/>
            </w:tcMar>
            <w:vAlign w:val="bottom"/>
            <w:hideMark/>
          </w:tcPr>
          <w:p w14:paraId="7A1C3A42" w14:textId="77777777" w:rsidR="002E615B" w:rsidRPr="00EC5541" w:rsidRDefault="002E615B" w:rsidP="002E615B">
            <w:pPr>
              <w:spacing w:after="0"/>
            </w:pPr>
            <w:r w:rsidRPr="00EC5541">
              <w:t>[0,368; 0,524]</w:t>
            </w:r>
          </w:p>
        </w:tc>
        <w:tc>
          <w:tcPr>
            <w:tcW w:w="0" w:type="auto"/>
            <w:tcMar>
              <w:top w:w="150" w:type="dxa"/>
              <w:left w:w="150" w:type="dxa"/>
              <w:bottom w:w="150" w:type="dxa"/>
              <w:right w:w="150" w:type="dxa"/>
            </w:tcMar>
            <w:vAlign w:val="bottom"/>
            <w:hideMark/>
          </w:tcPr>
          <w:p w14:paraId="27F3DC68" w14:textId="48A03221" w:rsidR="002E615B" w:rsidRPr="00EC5541" w:rsidRDefault="002E615B" w:rsidP="002E615B">
            <w:pPr>
              <w:spacing w:after="0"/>
              <w:jc w:val="center"/>
            </w:pPr>
            <w:r>
              <w:rPr>
                <w:rFonts w:hint="eastAsia"/>
              </w:rPr>
              <w:t>Significant</w:t>
            </w:r>
          </w:p>
        </w:tc>
      </w:tr>
      <w:tr w:rsidR="002E615B" w:rsidRPr="00EC5541" w14:paraId="67E4FB64" w14:textId="77777777" w:rsidTr="009F6485">
        <w:tc>
          <w:tcPr>
            <w:tcW w:w="0" w:type="auto"/>
            <w:tcMar>
              <w:top w:w="150" w:type="dxa"/>
              <w:left w:w="150" w:type="dxa"/>
              <w:bottom w:w="150" w:type="dxa"/>
              <w:right w:w="150" w:type="dxa"/>
            </w:tcMar>
            <w:vAlign w:val="bottom"/>
            <w:hideMark/>
          </w:tcPr>
          <w:p w14:paraId="34D76279" w14:textId="366F3E2B" w:rsidR="002E615B" w:rsidRPr="00EC5541" w:rsidRDefault="002E615B" w:rsidP="002E615B">
            <w:pPr>
              <w:spacing w:after="0"/>
            </w:pPr>
            <w:r>
              <w:rPr>
                <w:rFonts w:hint="eastAsia"/>
              </w:rPr>
              <w:t xml:space="preserve">Medium </w:t>
            </w:r>
            <w:r>
              <w:rPr>
                <w:rFonts w:hint="eastAsia"/>
              </w:rPr>
              <w:t>→</w:t>
            </w:r>
            <w:r>
              <w:rPr>
                <w:rFonts w:hint="eastAsia"/>
              </w:rPr>
              <w:t xml:space="preserve"> Business_Performance</w:t>
            </w:r>
          </w:p>
        </w:tc>
        <w:tc>
          <w:tcPr>
            <w:tcW w:w="0" w:type="auto"/>
            <w:tcMar>
              <w:top w:w="150" w:type="dxa"/>
              <w:left w:w="150" w:type="dxa"/>
              <w:bottom w:w="150" w:type="dxa"/>
              <w:right w:w="150" w:type="dxa"/>
            </w:tcMar>
            <w:vAlign w:val="bottom"/>
            <w:hideMark/>
          </w:tcPr>
          <w:p w14:paraId="45E99EA3" w14:textId="77777777" w:rsidR="002E615B" w:rsidRPr="00EC5541" w:rsidRDefault="002E615B" w:rsidP="002E615B">
            <w:pPr>
              <w:spacing w:after="0"/>
            </w:pPr>
            <w:r w:rsidRPr="00EC5541">
              <w:t>0,548</w:t>
            </w:r>
          </w:p>
        </w:tc>
        <w:tc>
          <w:tcPr>
            <w:tcW w:w="0" w:type="auto"/>
            <w:tcMar>
              <w:top w:w="150" w:type="dxa"/>
              <w:left w:w="150" w:type="dxa"/>
              <w:bottom w:w="150" w:type="dxa"/>
              <w:right w:w="150" w:type="dxa"/>
            </w:tcMar>
            <w:vAlign w:val="bottom"/>
            <w:hideMark/>
          </w:tcPr>
          <w:p w14:paraId="2E77B586" w14:textId="77777777" w:rsidR="002E615B" w:rsidRPr="00EC5541" w:rsidRDefault="002E615B" w:rsidP="002E615B">
            <w:pPr>
              <w:spacing w:after="0"/>
            </w:pPr>
            <w:r w:rsidRPr="00EC5541">
              <w:t>0,034</w:t>
            </w:r>
          </w:p>
        </w:tc>
        <w:tc>
          <w:tcPr>
            <w:tcW w:w="0" w:type="auto"/>
            <w:tcMar>
              <w:top w:w="150" w:type="dxa"/>
              <w:left w:w="150" w:type="dxa"/>
              <w:bottom w:w="150" w:type="dxa"/>
              <w:right w:w="150" w:type="dxa"/>
            </w:tcMar>
            <w:vAlign w:val="bottom"/>
            <w:hideMark/>
          </w:tcPr>
          <w:p w14:paraId="417B9525" w14:textId="77777777" w:rsidR="002E615B" w:rsidRPr="00EC5541" w:rsidRDefault="002E615B" w:rsidP="002E615B">
            <w:pPr>
              <w:spacing w:after="0"/>
            </w:pPr>
            <w:r w:rsidRPr="00EC5541">
              <w:t>16,12</w:t>
            </w:r>
          </w:p>
        </w:tc>
        <w:tc>
          <w:tcPr>
            <w:tcW w:w="0" w:type="auto"/>
            <w:tcMar>
              <w:top w:w="150" w:type="dxa"/>
              <w:left w:w="150" w:type="dxa"/>
              <w:bottom w:w="150" w:type="dxa"/>
              <w:right w:w="150" w:type="dxa"/>
            </w:tcMar>
            <w:vAlign w:val="bottom"/>
            <w:hideMark/>
          </w:tcPr>
          <w:p w14:paraId="3D158083" w14:textId="77777777" w:rsidR="002E615B" w:rsidRPr="00EC5541" w:rsidRDefault="002E615B" w:rsidP="002E615B">
            <w:pPr>
              <w:spacing w:after="0"/>
            </w:pPr>
            <w:r w:rsidRPr="00EC5541">
              <w:t>&lt; 0,001</w:t>
            </w:r>
          </w:p>
        </w:tc>
        <w:tc>
          <w:tcPr>
            <w:tcW w:w="0" w:type="auto"/>
            <w:tcMar>
              <w:top w:w="150" w:type="dxa"/>
              <w:left w:w="150" w:type="dxa"/>
              <w:bottom w:w="150" w:type="dxa"/>
              <w:right w:w="150" w:type="dxa"/>
            </w:tcMar>
            <w:vAlign w:val="bottom"/>
            <w:hideMark/>
          </w:tcPr>
          <w:p w14:paraId="7CEFF3C8" w14:textId="77777777" w:rsidR="002E615B" w:rsidRPr="00EC5541" w:rsidRDefault="002E615B" w:rsidP="002E615B">
            <w:pPr>
              <w:spacing w:after="0"/>
            </w:pPr>
            <w:r w:rsidRPr="00EC5541">
              <w:t>[0,481; 0,615]</w:t>
            </w:r>
          </w:p>
        </w:tc>
        <w:tc>
          <w:tcPr>
            <w:tcW w:w="0" w:type="auto"/>
            <w:tcMar>
              <w:top w:w="150" w:type="dxa"/>
              <w:left w:w="150" w:type="dxa"/>
              <w:bottom w:w="150" w:type="dxa"/>
              <w:right w:w="150" w:type="dxa"/>
            </w:tcMar>
            <w:vAlign w:val="bottom"/>
            <w:hideMark/>
          </w:tcPr>
          <w:p w14:paraId="1C6849D4" w14:textId="308194A4" w:rsidR="002E615B" w:rsidRPr="00EC5541" w:rsidRDefault="002E615B" w:rsidP="002E615B">
            <w:pPr>
              <w:spacing w:after="0"/>
              <w:jc w:val="center"/>
            </w:pPr>
            <w:r>
              <w:rPr>
                <w:rFonts w:hint="eastAsia"/>
              </w:rPr>
              <w:t>Significant</w:t>
            </w:r>
          </w:p>
        </w:tc>
      </w:tr>
      <w:tr w:rsidR="002E615B" w:rsidRPr="00EC5541" w14:paraId="33955E54" w14:textId="77777777" w:rsidTr="009F6485">
        <w:tc>
          <w:tcPr>
            <w:tcW w:w="0" w:type="auto"/>
            <w:tcMar>
              <w:top w:w="150" w:type="dxa"/>
              <w:left w:w="150" w:type="dxa"/>
              <w:bottom w:w="150" w:type="dxa"/>
              <w:right w:w="150" w:type="dxa"/>
            </w:tcMar>
            <w:vAlign w:val="bottom"/>
            <w:hideMark/>
          </w:tcPr>
          <w:p w14:paraId="568D2011" w14:textId="698DF061" w:rsidR="002E615B" w:rsidRPr="00EC5541" w:rsidRDefault="002E615B" w:rsidP="002E615B">
            <w:pPr>
              <w:spacing w:after="0"/>
            </w:pPr>
            <w:r>
              <w:rPr>
                <w:rFonts w:hint="eastAsia"/>
              </w:rPr>
              <w:t xml:space="preserve">Small </w:t>
            </w:r>
            <w:r>
              <w:rPr>
                <w:rFonts w:hint="eastAsia"/>
              </w:rPr>
              <w:t>→</w:t>
            </w:r>
            <w:r>
              <w:rPr>
                <w:rFonts w:hint="eastAsia"/>
              </w:rPr>
              <w:t xml:space="preserve"> AI_Usage</w:t>
            </w:r>
          </w:p>
        </w:tc>
        <w:tc>
          <w:tcPr>
            <w:tcW w:w="0" w:type="auto"/>
            <w:tcMar>
              <w:top w:w="150" w:type="dxa"/>
              <w:left w:w="150" w:type="dxa"/>
              <w:bottom w:w="150" w:type="dxa"/>
              <w:right w:w="150" w:type="dxa"/>
            </w:tcMar>
            <w:vAlign w:val="bottom"/>
            <w:hideMark/>
          </w:tcPr>
          <w:p w14:paraId="7F1405DD" w14:textId="77777777" w:rsidR="002E615B" w:rsidRPr="00EC5541" w:rsidRDefault="002E615B" w:rsidP="002E615B">
            <w:pPr>
              <w:spacing w:after="0"/>
            </w:pPr>
            <w:r w:rsidRPr="00EC5541">
              <w:t>0,269</w:t>
            </w:r>
          </w:p>
        </w:tc>
        <w:tc>
          <w:tcPr>
            <w:tcW w:w="0" w:type="auto"/>
            <w:tcMar>
              <w:top w:w="150" w:type="dxa"/>
              <w:left w:w="150" w:type="dxa"/>
              <w:bottom w:w="150" w:type="dxa"/>
              <w:right w:w="150" w:type="dxa"/>
            </w:tcMar>
            <w:vAlign w:val="bottom"/>
            <w:hideMark/>
          </w:tcPr>
          <w:p w14:paraId="3E31D962" w14:textId="77777777" w:rsidR="002E615B" w:rsidRPr="00EC5541" w:rsidRDefault="002E615B" w:rsidP="002E615B">
            <w:pPr>
              <w:spacing w:after="0"/>
            </w:pPr>
            <w:r w:rsidRPr="00EC5541">
              <w:t>0,066</w:t>
            </w:r>
          </w:p>
        </w:tc>
        <w:tc>
          <w:tcPr>
            <w:tcW w:w="0" w:type="auto"/>
            <w:tcMar>
              <w:top w:w="150" w:type="dxa"/>
              <w:left w:w="150" w:type="dxa"/>
              <w:bottom w:w="150" w:type="dxa"/>
              <w:right w:w="150" w:type="dxa"/>
            </w:tcMar>
            <w:vAlign w:val="bottom"/>
            <w:hideMark/>
          </w:tcPr>
          <w:p w14:paraId="196D663C" w14:textId="77777777" w:rsidR="002E615B" w:rsidRPr="00EC5541" w:rsidRDefault="002E615B" w:rsidP="002E615B">
            <w:pPr>
              <w:spacing w:after="0"/>
            </w:pPr>
            <w:r w:rsidRPr="00EC5541">
              <w:t>4,08</w:t>
            </w:r>
          </w:p>
        </w:tc>
        <w:tc>
          <w:tcPr>
            <w:tcW w:w="0" w:type="auto"/>
            <w:tcMar>
              <w:top w:w="150" w:type="dxa"/>
              <w:left w:w="150" w:type="dxa"/>
              <w:bottom w:w="150" w:type="dxa"/>
              <w:right w:w="150" w:type="dxa"/>
            </w:tcMar>
            <w:vAlign w:val="bottom"/>
            <w:hideMark/>
          </w:tcPr>
          <w:p w14:paraId="14F7D947" w14:textId="77777777" w:rsidR="002E615B" w:rsidRPr="00EC5541" w:rsidRDefault="002E615B" w:rsidP="002E615B">
            <w:pPr>
              <w:spacing w:after="0"/>
            </w:pPr>
            <w:r w:rsidRPr="00EC5541">
              <w:t>&lt; 0,001</w:t>
            </w:r>
          </w:p>
        </w:tc>
        <w:tc>
          <w:tcPr>
            <w:tcW w:w="0" w:type="auto"/>
            <w:tcMar>
              <w:top w:w="150" w:type="dxa"/>
              <w:left w:w="150" w:type="dxa"/>
              <w:bottom w:w="150" w:type="dxa"/>
              <w:right w:w="150" w:type="dxa"/>
            </w:tcMar>
            <w:vAlign w:val="bottom"/>
            <w:hideMark/>
          </w:tcPr>
          <w:p w14:paraId="0357253B" w14:textId="77777777" w:rsidR="002E615B" w:rsidRPr="00EC5541" w:rsidRDefault="002E615B" w:rsidP="002E615B">
            <w:pPr>
              <w:spacing w:after="0"/>
            </w:pPr>
            <w:r w:rsidRPr="00EC5541">
              <w:t>[0,140; 0,398]</w:t>
            </w:r>
          </w:p>
        </w:tc>
        <w:tc>
          <w:tcPr>
            <w:tcW w:w="0" w:type="auto"/>
            <w:tcMar>
              <w:top w:w="150" w:type="dxa"/>
              <w:left w:w="150" w:type="dxa"/>
              <w:bottom w:w="150" w:type="dxa"/>
              <w:right w:w="150" w:type="dxa"/>
            </w:tcMar>
            <w:vAlign w:val="bottom"/>
            <w:hideMark/>
          </w:tcPr>
          <w:p w14:paraId="413BF0E5" w14:textId="312F8FB1" w:rsidR="002E615B" w:rsidRPr="00EC5541" w:rsidRDefault="002E615B" w:rsidP="002E615B">
            <w:pPr>
              <w:spacing w:after="0"/>
              <w:jc w:val="center"/>
            </w:pPr>
            <w:r>
              <w:rPr>
                <w:rFonts w:hint="eastAsia"/>
              </w:rPr>
              <w:t>Significant</w:t>
            </w:r>
          </w:p>
        </w:tc>
      </w:tr>
      <w:tr w:rsidR="002E615B" w:rsidRPr="00EC5541" w14:paraId="34D393C4" w14:textId="77777777" w:rsidTr="009F6485">
        <w:tc>
          <w:tcPr>
            <w:tcW w:w="0" w:type="auto"/>
            <w:tcMar>
              <w:top w:w="150" w:type="dxa"/>
              <w:left w:w="150" w:type="dxa"/>
              <w:bottom w:w="150" w:type="dxa"/>
              <w:right w:w="150" w:type="dxa"/>
            </w:tcMar>
            <w:vAlign w:val="bottom"/>
            <w:hideMark/>
          </w:tcPr>
          <w:p w14:paraId="04508DE4" w14:textId="37DDF2F9" w:rsidR="002E615B" w:rsidRPr="00EC5541" w:rsidRDefault="002E615B" w:rsidP="002E615B">
            <w:pPr>
              <w:spacing w:after="0"/>
            </w:pPr>
            <w:r>
              <w:rPr>
                <w:rFonts w:hint="eastAsia"/>
              </w:rPr>
              <w:t xml:space="preserve">Medium </w:t>
            </w:r>
            <w:r>
              <w:rPr>
                <w:rFonts w:hint="eastAsia"/>
              </w:rPr>
              <w:t>→</w:t>
            </w:r>
            <w:r>
              <w:rPr>
                <w:rFonts w:hint="eastAsia"/>
              </w:rPr>
              <w:t xml:space="preserve"> AI_Usage</w:t>
            </w:r>
          </w:p>
        </w:tc>
        <w:tc>
          <w:tcPr>
            <w:tcW w:w="0" w:type="auto"/>
            <w:tcMar>
              <w:top w:w="150" w:type="dxa"/>
              <w:left w:w="150" w:type="dxa"/>
              <w:bottom w:w="150" w:type="dxa"/>
              <w:right w:w="150" w:type="dxa"/>
            </w:tcMar>
            <w:vAlign w:val="bottom"/>
            <w:hideMark/>
          </w:tcPr>
          <w:p w14:paraId="21602159" w14:textId="77777777" w:rsidR="002E615B" w:rsidRPr="00EC5541" w:rsidRDefault="002E615B" w:rsidP="002E615B">
            <w:pPr>
              <w:spacing w:after="0"/>
            </w:pPr>
            <w:r w:rsidRPr="00EC5541">
              <w:t>0,091</w:t>
            </w:r>
          </w:p>
        </w:tc>
        <w:tc>
          <w:tcPr>
            <w:tcW w:w="0" w:type="auto"/>
            <w:tcMar>
              <w:top w:w="150" w:type="dxa"/>
              <w:left w:w="150" w:type="dxa"/>
              <w:bottom w:w="150" w:type="dxa"/>
              <w:right w:w="150" w:type="dxa"/>
            </w:tcMar>
            <w:vAlign w:val="bottom"/>
            <w:hideMark/>
          </w:tcPr>
          <w:p w14:paraId="7FEC0BAD" w14:textId="77777777" w:rsidR="002E615B" w:rsidRPr="00EC5541" w:rsidRDefault="002E615B" w:rsidP="002E615B">
            <w:pPr>
              <w:spacing w:after="0"/>
            </w:pPr>
            <w:r w:rsidRPr="00EC5541">
              <w:t>0,068</w:t>
            </w:r>
          </w:p>
        </w:tc>
        <w:tc>
          <w:tcPr>
            <w:tcW w:w="0" w:type="auto"/>
            <w:tcMar>
              <w:top w:w="150" w:type="dxa"/>
              <w:left w:w="150" w:type="dxa"/>
              <w:bottom w:w="150" w:type="dxa"/>
              <w:right w:w="150" w:type="dxa"/>
            </w:tcMar>
            <w:vAlign w:val="bottom"/>
            <w:hideMark/>
          </w:tcPr>
          <w:p w14:paraId="1D88DC78" w14:textId="77777777" w:rsidR="002E615B" w:rsidRPr="00EC5541" w:rsidRDefault="002E615B" w:rsidP="002E615B">
            <w:pPr>
              <w:spacing w:after="0"/>
            </w:pPr>
            <w:r w:rsidRPr="00EC5541">
              <w:t>1,34</w:t>
            </w:r>
          </w:p>
        </w:tc>
        <w:tc>
          <w:tcPr>
            <w:tcW w:w="0" w:type="auto"/>
            <w:tcMar>
              <w:top w:w="150" w:type="dxa"/>
              <w:left w:w="150" w:type="dxa"/>
              <w:bottom w:w="150" w:type="dxa"/>
              <w:right w:w="150" w:type="dxa"/>
            </w:tcMar>
            <w:vAlign w:val="bottom"/>
            <w:hideMark/>
          </w:tcPr>
          <w:p w14:paraId="267E9B5F" w14:textId="77777777" w:rsidR="002E615B" w:rsidRPr="00EC5541" w:rsidRDefault="002E615B" w:rsidP="002E615B">
            <w:pPr>
              <w:spacing w:after="0"/>
            </w:pPr>
            <w:r w:rsidRPr="00EC5541">
              <w:t>0,181</w:t>
            </w:r>
          </w:p>
        </w:tc>
        <w:tc>
          <w:tcPr>
            <w:tcW w:w="0" w:type="auto"/>
            <w:tcMar>
              <w:top w:w="150" w:type="dxa"/>
              <w:left w:w="150" w:type="dxa"/>
              <w:bottom w:w="150" w:type="dxa"/>
              <w:right w:w="150" w:type="dxa"/>
            </w:tcMar>
            <w:vAlign w:val="bottom"/>
            <w:hideMark/>
          </w:tcPr>
          <w:p w14:paraId="621B52B1" w14:textId="77777777" w:rsidR="002E615B" w:rsidRPr="00EC5541" w:rsidRDefault="002E615B" w:rsidP="002E615B">
            <w:pPr>
              <w:spacing w:after="0"/>
            </w:pPr>
            <w:r w:rsidRPr="00EC5541">
              <w:t>[-0,042; 0,224]</w:t>
            </w:r>
          </w:p>
        </w:tc>
        <w:tc>
          <w:tcPr>
            <w:tcW w:w="0" w:type="auto"/>
            <w:tcMar>
              <w:top w:w="150" w:type="dxa"/>
              <w:left w:w="150" w:type="dxa"/>
              <w:bottom w:w="150" w:type="dxa"/>
              <w:right w:w="150" w:type="dxa"/>
            </w:tcMar>
            <w:vAlign w:val="bottom"/>
            <w:hideMark/>
          </w:tcPr>
          <w:p w14:paraId="4D403F92" w14:textId="2020222A" w:rsidR="002E615B" w:rsidRPr="00EC5541" w:rsidRDefault="002E615B" w:rsidP="002E615B">
            <w:pPr>
              <w:spacing w:after="0"/>
              <w:jc w:val="center"/>
            </w:pPr>
            <w:r>
              <w:rPr>
                <w:rFonts w:hint="eastAsia"/>
              </w:rPr>
              <w:t>Not significant</w:t>
            </w:r>
          </w:p>
        </w:tc>
      </w:tr>
    </w:tbl>
    <w:p w14:paraId="688170B8" w14:textId="77777777" w:rsidR="002E615B" w:rsidRDefault="002E615B" w:rsidP="002E615B">
      <w:r>
        <w:t>Source: JASP 0.18 output (processed by the author, 2024)</w:t>
      </w:r>
    </w:p>
    <w:p w14:paraId="48CE339C" w14:textId="77777777" w:rsidR="002E615B" w:rsidRDefault="002E615B" w:rsidP="002E615B"/>
    <w:p w14:paraId="299ECFAD" w14:textId="77777777" w:rsidR="002E615B" w:rsidRPr="002E615B" w:rsidRDefault="002E615B" w:rsidP="002E615B">
      <w:pPr>
        <w:rPr>
          <w:b/>
          <w:bCs/>
        </w:rPr>
      </w:pPr>
      <w:r w:rsidRPr="002E615B">
        <w:rPr>
          <w:b/>
          <w:bCs/>
        </w:rPr>
        <w:t>4.4. Testing for Mediation Effects</w:t>
      </w:r>
    </w:p>
    <w:p w14:paraId="4C91D7D2" w14:textId="346BBA2C" w:rsidR="002E615B" w:rsidRDefault="002E615B" w:rsidP="002E615B">
      <w:pPr>
        <w:jc w:val="both"/>
      </w:pPr>
      <w:r>
        <w:t>The next analysis assessed whether AI use mediates the relationship between firm size and business performance. Bootstrap results (5,000 replications) in Table 4.4 show that both mediation paths are insignificant (p &gt; 0.10). Thus, AI use does not function as the primary mechanism transmitting the effect of firm size on performance. This supports the argument in the RBV that complementary assets</w:t>
      </w:r>
      <w:r>
        <w:t xml:space="preserve">, </w:t>
      </w:r>
      <w:r>
        <w:t>not simply the intensity of technology use</w:t>
      </w:r>
      <w:r>
        <w:t xml:space="preserve">, will </w:t>
      </w:r>
      <w:r>
        <w:t>determine whether AI adoption provides tangible benefits (Barney, 1991; UNCTAD, 2021).</w:t>
      </w:r>
    </w:p>
    <w:p w14:paraId="12116111" w14:textId="77777777" w:rsidR="002E615B" w:rsidRDefault="002E615B" w:rsidP="002E615B"/>
    <w:p w14:paraId="44D78AE6" w14:textId="3FC5917B" w:rsidR="002E615B" w:rsidRDefault="002E615B" w:rsidP="002E615B">
      <w:r w:rsidRPr="002E615B">
        <w:rPr>
          <w:b/>
          <w:bCs/>
        </w:rPr>
        <w:t>Table 4.4.</w:t>
      </w:r>
      <w:r>
        <w:t xml:space="preserve"> Summary of Mediation Effects (Bootstrap 5,000 replications)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17"/>
        <w:gridCol w:w="801"/>
        <w:gridCol w:w="801"/>
        <w:gridCol w:w="690"/>
        <w:gridCol w:w="801"/>
        <w:gridCol w:w="1266"/>
        <w:gridCol w:w="1474"/>
      </w:tblGrid>
      <w:tr w:rsidR="002E615B" w:rsidRPr="00EC5541" w14:paraId="75E4C75A" w14:textId="77777777" w:rsidTr="009F6485">
        <w:trPr>
          <w:tblHeader/>
        </w:trPr>
        <w:tc>
          <w:tcPr>
            <w:tcW w:w="0" w:type="auto"/>
            <w:tcMar>
              <w:top w:w="150" w:type="dxa"/>
              <w:left w:w="150" w:type="dxa"/>
              <w:bottom w:w="150" w:type="dxa"/>
              <w:right w:w="150" w:type="dxa"/>
            </w:tcMar>
            <w:vAlign w:val="bottom"/>
            <w:hideMark/>
          </w:tcPr>
          <w:p w14:paraId="784E7061" w14:textId="1E99505D" w:rsidR="002E615B" w:rsidRPr="00BB6193" w:rsidRDefault="002E615B" w:rsidP="00BB6193">
            <w:pPr>
              <w:spacing w:after="0"/>
              <w:jc w:val="center"/>
              <w:rPr>
                <w:b/>
                <w:bCs/>
              </w:rPr>
            </w:pPr>
            <w:r w:rsidRPr="00BB6193">
              <w:rPr>
                <w:b/>
                <w:bCs/>
              </w:rPr>
              <w:lastRenderedPageBreak/>
              <w:t>Mediation Path</w:t>
            </w:r>
          </w:p>
        </w:tc>
        <w:tc>
          <w:tcPr>
            <w:tcW w:w="0" w:type="auto"/>
            <w:tcMar>
              <w:top w:w="150" w:type="dxa"/>
              <w:left w:w="150" w:type="dxa"/>
              <w:bottom w:w="150" w:type="dxa"/>
              <w:right w:w="150" w:type="dxa"/>
            </w:tcMar>
            <w:vAlign w:val="bottom"/>
            <w:hideMark/>
          </w:tcPr>
          <w:p w14:paraId="743A2E0C" w14:textId="77777777" w:rsidR="002E615B" w:rsidRPr="00EC5541" w:rsidRDefault="002E615B" w:rsidP="00BB6193">
            <w:pPr>
              <w:spacing w:after="0"/>
              <w:jc w:val="center"/>
              <w:rPr>
                <w:b/>
                <w:bCs/>
              </w:rPr>
            </w:pPr>
            <w:r w:rsidRPr="00EC5541">
              <w:rPr>
                <w:b/>
                <w:bCs/>
              </w:rPr>
              <w:t>β</w:t>
            </w:r>
          </w:p>
        </w:tc>
        <w:tc>
          <w:tcPr>
            <w:tcW w:w="0" w:type="auto"/>
            <w:tcMar>
              <w:top w:w="150" w:type="dxa"/>
              <w:left w:w="150" w:type="dxa"/>
              <w:bottom w:w="150" w:type="dxa"/>
              <w:right w:w="150" w:type="dxa"/>
            </w:tcMar>
            <w:vAlign w:val="bottom"/>
            <w:hideMark/>
          </w:tcPr>
          <w:p w14:paraId="77058974" w14:textId="77777777" w:rsidR="002E615B" w:rsidRPr="00EC5541" w:rsidRDefault="002E615B" w:rsidP="00BB6193">
            <w:pPr>
              <w:spacing w:after="0"/>
              <w:jc w:val="center"/>
              <w:rPr>
                <w:b/>
                <w:bCs/>
              </w:rPr>
            </w:pPr>
            <w:r w:rsidRPr="00EC5541">
              <w:rPr>
                <w:b/>
                <w:bCs/>
              </w:rPr>
              <w:t>SE</w:t>
            </w:r>
          </w:p>
        </w:tc>
        <w:tc>
          <w:tcPr>
            <w:tcW w:w="0" w:type="auto"/>
            <w:tcMar>
              <w:top w:w="150" w:type="dxa"/>
              <w:left w:w="150" w:type="dxa"/>
              <w:bottom w:w="150" w:type="dxa"/>
              <w:right w:w="150" w:type="dxa"/>
            </w:tcMar>
            <w:vAlign w:val="bottom"/>
            <w:hideMark/>
          </w:tcPr>
          <w:p w14:paraId="2A77142A" w14:textId="77777777" w:rsidR="002E615B" w:rsidRPr="00EC5541" w:rsidRDefault="002E615B" w:rsidP="00BB6193">
            <w:pPr>
              <w:spacing w:after="0"/>
              <w:jc w:val="center"/>
              <w:rPr>
                <w:b/>
                <w:bCs/>
              </w:rPr>
            </w:pPr>
            <w:r w:rsidRPr="00EC5541">
              <w:rPr>
                <w:b/>
                <w:bCs/>
              </w:rPr>
              <w:t>z</w:t>
            </w:r>
          </w:p>
        </w:tc>
        <w:tc>
          <w:tcPr>
            <w:tcW w:w="0" w:type="auto"/>
            <w:tcMar>
              <w:top w:w="150" w:type="dxa"/>
              <w:left w:w="150" w:type="dxa"/>
              <w:bottom w:w="150" w:type="dxa"/>
              <w:right w:w="150" w:type="dxa"/>
            </w:tcMar>
            <w:vAlign w:val="bottom"/>
            <w:hideMark/>
          </w:tcPr>
          <w:p w14:paraId="354D4DD3" w14:textId="77777777" w:rsidR="002E615B" w:rsidRPr="00EC5541" w:rsidRDefault="002E615B" w:rsidP="00BB6193">
            <w:pPr>
              <w:spacing w:after="0"/>
              <w:jc w:val="center"/>
              <w:rPr>
                <w:b/>
                <w:bCs/>
              </w:rPr>
            </w:pPr>
            <w:r w:rsidRPr="00EC5541">
              <w:rPr>
                <w:b/>
                <w:bCs/>
              </w:rPr>
              <w:t>p</w:t>
            </w:r>
          </w:p>
        </w:tc>
        <w:tc>
          <w:tcPr>
            <w:tcW w:w="0" w:type="auto"/>
            <w:tcMar>
              <w:top w:w="150" w:type="dxa"/>
              <w:left w:w="150" w:type="dxa"/>
              <w:bottom w:w="150" w:type="dxa"/>
              <w:right w:w="150" w:type="dxa"/>
            </w:tcMar>
            <w:vAlign w:val="bottom"/>
            <w:hideMark/>
          </w:tcPr>
          <w:p w14:paraId="71AF64D3" w14:textId="77777777" w:rsidR="002E615B" w:rsidRPr="00EC5541" w:rsidRDefault="002E615B" w:rsidP="00BB6193">
            <w:pPr>
              <w:spacing w:after="0"/>
              <w:jc w:val="center"/>
              <w:rPr>
                <w:b/>
                <w:bCs/>
              </w:rPr>
            </w:pPr>
            <w:r w:rsidRPr="00EC5541">
              <w:rPr>
                <w:b/>
                <w:bCs/>
              </w:rPr>
              <w:t>95 % BC CI</w:t>
            </w:r>
          </w:p>
        </w:tc>
        <w:tc>
          <w:tcPr>
            <w:tcW w:w="0" w:type="auto"/>
            <w:tcMar>
              <w:top w:w="150" w:type="dxa"/>
              <w:left w:w="150" w:type="dxa"/>
              <w:bottom w:w="150" w:type="dxa"/>
              <w:right w:w="150" w:type="dxa"/>
            </w:tcMar>
            <w:vAlign w:val="bottom"/>
            <w:hideMark/>
          </w:tcPr>
          <w:p w14:paraId="70BBF64C" w14:textId="7AACB8CD" w:rsidR="002E615B" w:rsidRPr="00BB6193" w:rsidRDefault="00BB6193" w:rsidP="00BB6193">
            <w:pPr>
              <w:spacing w:after="0"/>
              <w:jc w:val="center"/>
              <w:rPr>
                <w:b/>
                <w:bCs/>
              </w:rPr>
            </w:pPr>
            <w:r w:rsidRPr="00BB6193">
              <w:rPr>
                <w:b/>
                <w:bCs/>
              </w:rPr>
              <w:t>Description</w:t>
            </w:r>
          </w:p>
        </w:tc>
      </w:tr>
      <w:tr w:rsidR="002E615B" w:rsidRPr="00EC5541" w14:paraId="78BF195B" w14:textId="77777777" w:rsidTr="009F6485">
        <w:tc>
          <w:tcPr>
            <w:tcW w:w="0" w:type="auto"/>
            <w:tcMar>
              <w:top w:w="150" w:type="dxa"/>
              <w:left w:w="150" w:type="dxa"/>
              <w:bottom w:w="150" w:type="dxa"/>
              <w:right w:w="150" w:type="dxa"/>
            </w:tcMar>
            <w:vAlign w:val="bottom"/>
            <w:hideMark/>
          </w:tcPr>
          <w:p w14:paraId="64C0D0BD" w14:textId="0D9A574F" w:rsidR="002E615B" w:rsidRPr="00EC5541" w:rsidRDefault="00BB6193" w:rsidP="00BB6193">
            <w:pPr>
              <w:spacing w:after="0"/>
            </w:pPr>
            <w:r>
              <w:rPr>
                <w:rFonts w:hint="eastAsia"/>
              </w:rPr>
              <w:t xml:space="preserve">Small </w:t>
            </w:r>
            <w:r>
              <w:rPr>
                <w:rFonts w:hint="eastAsia"/>
              </w:rPr>
              <w:t>→</w:t>
            </w:r>
            <w:r>
              <w:rPr>
                <w:rFonts w:hint="eastAsia"/>
              </w:rPr>
              <w:t xml:space="preserve"> AI_Usage </w:t>
            </w:r>
            <w:r>
              <w:rPr>
                <w:rFonts w:hint="eastAsia"/>
              </w:rPr>
              <w:t>→</w:t>
            </w:r>
            <w:r>
              <w:rPr>
                <w:rFonts w:hint="eastAsia"/>
              </w:rPr>
              <w:t xml:space="preserve"> Business_Performance  </w:t>
            </w:r>
          </w:p>
        </w:tc>
        <w:tc>
          <w:tcPr>
            <w:tcW w:w="0" w:type="auto"/>
            <w:tcMar>
              <w:top w:w="150" w:type="dxa"/>
              <w:left w:w="150" w:type="dxa"/>
              <w:bottom w:w="150" w:type="dxa"/>
              <w:right w:w="150" w:type="dxa"/>
            </w:tcMar>
            <w:vAlign w:val="bottom"/>
            <w:hideMark/>
          </w:tcPr>
          <w:p w14:paraId="5414C50A" w14:textId="77777777" w:rsidR="002E615B" w:rsidRPr="00EC5541" w:rsidRDefault="002E615B" w:rsidP="00BB6193">
            <w:pPr>
              <w:spacing w:after="0"/>
            </w:pPr>
            <w:r w:rsidRPr="00EC5541">
              <w:t>0,023</w:t>
            </w:r>
          </w:p>
        </w:tc>
        <w:tc>
          <w:tcPr>
            <w:tcW w:w="0" w:type="auto"/>
            <w:tcMar>
              <w:top w:w="150" w:type="dxa"/>
              <w:left w:w="150" w:type="dxa"/>
              <w:bottom w:w="150" w:type="dxa"/>
              <w:right w:w="150" w:type="dxa"/>
            </w:tcMar>
            <w:vAlign w:val="bottom"/>
            <w:hideMark/>
          </w:tcPr>
          <w:p w14:paraId="3BD7FD6E" w14:textId="77777777" w:rsidR="002E615B" w:rsidRPr="00EC5541" w:rsidRDefault="002E615B" w:rsidP="00BB6193">
            <w:pPr>
              <w:spacing w:after="0"/>
            </w:pPr>
            <w:r w:rsidRPr="00EC5541">
              <w:t>0,016</w:t>
            </w:r>
          </w:p>
        </w:tc>
        <w:tc>
          <w:tcPr>
            <w:tcW w:w="0" w:type="auto"/>
            <w:tcMar>
              <w:top w:w="150" w:type="dxa"/>
              <w:left w:w="150" w:type="dxa"/>
              <w:bottom w:w="150" w:type="dxa"/>
              <w:right w:w="150" w:type="dxa"/>
            </w:tcMar>
            <w:vAlign w:val="bottom"/>
            <w:hideMark/>
          </w:tcPr>
          <w:p w14:paraId="682234E8" w14:textId="77777777" w:rsidR="002E615B" w:rsidRPr="00EC5541" w:rsidRDefault="002E615B" w:rsidP="00BB6193">
            <w:pPr>
              <w:spacing w:after="0"/>
            </w:pPr>
            <w:r w:rsidRPr="00EC5541">
              <w:t>1,44</w:t>
            </w:r>
          </w:p>
        </w:tc>
        <w:tc>
          <w:tcPr>
            <w:tcW w:w="0" w:type="auto"/>
            <w:tcMar>
              <w:top w:w="150" w:type="dxa"/>
              <w:left w:w="150" w:type="dxa"/>
              <w:bottom w:w="150" w:type="dxa"/>
              <w:right w:w="150" w:type="dxa"/>
            </w:tcMar>
            <w:vAlign w:val="bottom"/>
            <w:hideMark/>
          </w:tcPr>
          <w:p w14:paraId="0354A138" w14:textId="77777777" w:rsidR="002E615B" w:rsidRPr="00EC5541" w:rsidRDefault="002E615B" w:rsidP="00BB6193">
            <w:pPr>
              <w:spacing w:after="0"/>
            </w:pPr>
            <w:r w:rsidRPr="00EC5541">
              <w:t>0,144</w:t>
            </w:r>
          </w:p>
        </w:tc>
        <w:tc>
          <w:tcPr>
            <w:tcW w:w="0" w:type="auto"/>
            <w:tcMar>
              <w:top w:w="150" w:type="dxa"/>
              <w:left w:w="150" w:type="dxa"/>
              <w:bottom w:w="150" w:type="dxa"/>
              <w:right w:w="150" w:type="dxa"/>
            </w:tcMar>
            <w:vAlign w:val="bottom"/>
            <w:hideMark/>
          </w:tcPr>
          <w:p w14:paraId="60B99B43" w14:textId="77777777" w:rsidR="002E615B" w:rsidRPr="00EC5541" w:rsidRDefault="002E615B" w:rsidP="00BB6193">
            <w:pPr>
              <w:spacing w:after="0"/>
            </w:pPr>
            <w:r w:rsidRPr="00EC5541">
              <w:t>[-0,008; 0,053]</w:t>
            </w:r>
          </w:p>
        </w:tc>
        <w:tc>
          <w:tcPr>
            <w:tcW w:w="0" w:type="auto"/>
            <w:tcMar>
              <w:top w:w="150" w:type="dxa"/>
              <w:left w:w="150" w:type="dxa"/>
              <w:bottom w:w="150" w:type="dxa"/>
              <w:right w:w="150" w:type="dxa"/>
            </w:tcMar>
            <w:vAlign w:val="bottom"/>
            <w:hideMark/>
          </w:tcPr>
          <w:p w14:paraId="4B8642D7" w14:textId="1F7AAE2D" w:rsidR="002E615B" w:rsidRPr="00EC5541" w:rsidRDefault="00BB6193" w:rsidP="00BB6193">
            <w:pPr>
              <w:spacing w:after="0"/>
              <w:jc w:val="center"/>
            </w:pPr>
            <w:r>
              <w:rPr>
                <w:rFonts w:hint="eastAsia"/>
              </w:rPr>
              <w:t>Not significant</w:t>
            </w:r>
          </w:p>
        </w:tc>
      </w:tr>
      <w:tr w:rsidR="002E615B" w:rsidRPr="00EC5541" w14:paraId="0CBD35CB" w14:textId="77777777" w:rsidTr="009F6485">
        <w:tc>
          <w:tcPr>
            <w:tcW w:w="0" w:type="auto"/>
            <w:tcMar>
              <w:top w:w="150" w:type="dxa"/>
              <w:left w:w="150" w:type="dxa"/>
              <w:bottom w:w="150" w:type="dxa"/>
              <w:right w:w="150" w:type="dxa"/>
            </w:tcMar>
            <w:vAlign w:val="bottom"/>
            <w:hideMark/>
          </w:tcPr>
          <w:p w14:paraId="563C9D70" w14:textId="35213777" w:rsidR="002E615B" w:rsidRPr="00EC5541" w:rsidRDefault="00BB6193" w:rsidP="00BB6193">
            <w:pPr>
              <w:spacing w:after="0"/>
            </w:pPr>
            <w:r>
              <w:rPr>
                <w:rFonts w:hint="eastAsia"/>
              </w:rPr>
              <w:t xml:space="preserve">Medium </w:t>
            </w:r>
            <w:r>
              <w:rPr>
                <w:rFonts w:hint="eastAsia"/>
              </w:rPr>
              <w:t>→</w:t>
            </w:r>
            <w:r>
              <w:rPr>
                <w:rFonts w:hint="eastAsia"/>
              </w:rPr>
              <w:t xml:space="preserve"> AI_Usage </w:t>
            </w:r>
            <w:r>
              <w:rPr>
                <w:rFonts w:hint="eastAsia"/>
              </w:rPr>
              <w:t>→</w:t>
            </w:r>
            <w:r>
              <w:rPr>
                <w:rFonts w:hint="eastAsia"/>
              </w:rPr>
              <w:t xml:space="preserve"> Business_Performance</w:t>
            </w:r>
          </w:p>
        </w:tc>
        <w:tc>
          <w:tcPr>
            <w:tcW w:w="0" w:type="auto"/>
            <w:tcMar>
              <w:top w:w="150" w:type="dxa"/>
              <w:left w:w="150" w:type="dxa"/>
              <w:bottom w:w="150" w:type="dxa"/>
              <w:right w:w="150" w:type="dxa"/>
            </w:tcMar>
            <w:vAlign w:val="bottom"/>
            <w:hideMark/>
          </w:tcPr>
          <w:p w14:paraId="6E70A262" w14:textId="77777777" w:rsidR="002E615B" w:rsidRPr="00EC5541" w:rsidRDefault="002E615B" w:rsidP="00BB6193">
            <w:pPr>
              <w:spacing w:after="0"/>
            </w:pPr>
            <w:r w:rsidRPr="00EC5541">
              <w:t>0,008</w:t>
            </w:r>
          </w:p>
        </w:tc>
        <w:tc>
          <w:tcPr>
            <w:tcW w:w="0" w:type="auto"/>
            <w:tcMar>
              <w:top w:w="150" w:type="dxa"/>
              <w:left w:w="150" w:type="dxa"/>
              <w:bottom w:w="150" w:type="dxa"/>
              <w:right w:w="150" w:type="dxa"/>
            </w:tcMar>
            <w:vAlign w:val="bottom"/>
            <w:hideMark/>
          </w:tcPr>
          <w:p w14:paraId="72127B7D" w14:textId="77777777" w:rsidR="002E615B" w:rsidRPr="00EC5541" w:rsidRDefault="002E615B" w:rsidP="00BB6193">
            <w:pPr>
              <w:spacing w:after="0"/>
            </w:pPr>
            <w:r w:rsidRPr="00EC5541">
              <w:t>0,008</w:t>
            </w:r>
          </w:p>
        </w:tc>
        <w:tc>
          <w:tcPr>
            <w:tcW w:w="0" w:type="auto"/>
            <w:tcMar>
              <w:top w:w="150" w:type="dxa"/>
              <w:left w:w="150" w:type="dxa"/>
              <w:bottom w:w="150" w:type="dxa"/>
              <w:right w:w="150" w:type="dxa"/>
            </w:tcMar>
            <w:vAlign w:val="bottom"/>
            <w:hideMark/>
          </w:tcPr>
          <w:p w14:paraId="4A186E35" w14:textId="77777777" w:rsidR="002E615B" w:rsidRPr="00EC5541" w:rsidRDefault="002E615B" w:rsidP="00BB6193">
            <w:pPr>
              <w:spacing w:after="0"/>
            </w:pPr>
            <w:r w:rsidRPr="00EC5541">
              <w:t>1,02</w:t>
            </w:r>
          </w:p>
        </w:tc>
        <w:tc>
          <w:tcPr>
            <w:tcW w:w="0" w:type="auto"/>
            <w:tcMar>
              <w:top w:w="150" w:type="dxa"/>
              <w:left w:w="150" w:type="dxa"/>
              <w:bottom w:w="150" w:type="dxa"/>
              <w:right w:w="150" w:type="dxa"/>
            </w:tcMar>
            <w:vAlign w:val="bottom"/>
            <w:hideMark/>
          </w:tcPr>
          <w:p w14:paraId="2648D494" w14:textId="77777777" w:rsidR="002E615B" w:rsidRPr="00EC5541" w:rsidRDefault="002E615B" w:rsidP="00BB6193">
            <w:pPr>
              <w:spacing w:after="0"/>
            </w:pPr>
            <w:r w:rsidRPr="00EC5541">
              <w:t>0,308</w:t>
            </w:r>
          </w:p>
        </w:tc>
        <w:tc>
          <w:tcPr>
            <w:tcW w:w="0" w:type="auto"/>
            <w:tcMar>
              <w:top w:w="150" w:type="dxa"/>
              <w:left w:w="150" w:type="dxa"/>
              <w:bottom w:w="150" w:type="dxa"/>
              <w:right w:w="150" w:type="dxa"/>
            </w:tcMar>
            <w:vAlign w:val="bottom"/>
            <w:hideMark/>
          </w:tcPr>
          <w:p w14:paraId="530FE5C4" w14:textId="77777777" w:rsidR="002E615B" w:rsidRPr="00EC5541" w:rsidRDefault="002E615B" w:rsidP="00BB6193">
            <w:pPr>
              <w:spacing w:after="0"/>
            </w:pPr>
            <w:r w:rsidRPr="00EC5541">
              <w:t>[-0,007; 0,022]</w:t>
            </w:r>
          </w:p>
        </w:tc>
        <w:tc>
          <w:tcPr>
            <w:tcW w:w="0" w:type="auto"/>
            <w:tcMar>
              <w:top w:w="150" w:type="dxa"/>
              <w:left w:w="150" w:type="dxa"/>
              <w:bottom w:w="150" w:type="dxa"/>
              <w:right w:w="150" w:type="dxa"/>
            </w:tcMar>
            <w:vAlign w:val="bottom"/>
            <w:hideMark/>
          </w:tcPr>
          <w:p w14:paraId="23EE6C4B" w14:textId="7174882E" w:rsidR="002E615B" w:rsidRPr="00EC5541" w:rsidRDefault="00BB6193" w:rsidP="00BB6193">
            <w:pPr>
              <w:spacing w:after="0"/>
              <w:jc w:val="center"/>
            </w:pPr>
            <w:r>
              <w:rPr>
                <w:rFonts w:hint="eastAsia"/>
              </w:rPr>
              <w:t>Not significant</w:t>
            </w:r>
          </w:p>
        </w:tc>
      </w:tr>
    </w:tbl>
    <w:p w14:paraId="13B2D682" w14:textId="77777777" w:rsidR="00BB6193" w:rsidRDefault="00BB6193" w:rsidP="00BB6193">
      <w:r>
        <w:t>Source: JASP 0.18 output (processed by the author, 2024)</w:t>
      </w:r>
    </w:p>
    <w:p w14:paraId="4EDC0414" w14:textId="77777777" w:rsidR="00BB6193" w:rsidRDefault="00BB6193" w:rsidP="00BB6193"/>
    <w:p w14:paraId="69955EB6" w14:textId="77777777" w:rsidR="00BB6193" w:rsidRPr="00BB6193" w:rsidRDefault="00BB6193" w:rsidP="00BB6193">
      <w:pPr>
        <w:rPr>
          <w:b/>
          <w:bCs/>
        </w:rPr>
      </w:pPr>
      <w:r w:rsidRPr="00BB6193">
        <w:rPr>
          <w:b/>
          <w:bCs/>
        </w:rPr>
        <w:t>4.5. Coefficient of Determination (R²)</w:t>
      </w:r>
    </w:p>
    <w:p w14:paraId="225F5817" w14:textId="77777777" w:rsidR="00BB6193" w:rsidRDefault="00BB6193" w:rsidP="00BB6193">
      <w:pPr>
        <w:jc w:val="both"/>
      </w:pPr>
      <w:r>
        <w:t>In addition, the R² value shows the explanatory power of the model. A total of 7.4% of the variance in AI usage intensity is explained by company size, while 46.9% of the variance in business performance is explained by company size and AI usage intensity. The R² value for business performance can be categorized as moderate to strong (Chin, 1998), indicating that the model is able to explain almost half of the variation in the business performance of Jakarta MSMEs.</w:t>
      </w:r>
    </w:p>
    <w:p w14:paraId="3EC33A61" w14:textId="77777777" w:rsidR="00BB6193" w:rsidRDefault="00BB6193" w:rsidP="00BB6193"/>
    <w:p w14:paraId="33C3D275" w14:textId="77777777" w:rsidR="00BB6193" w:rsidRPr="00BB6193" w:rsidRDefault="00BB6193" w:rsidP="00BB6193">
      <w:pPr>
        <w:rPr>
          <w:b/>
          <w:bCs/>
        </w:rPr>
      </w:pPr>
      <w:r w:rsidRPr="00BB6193">
        <w:rPr>
          <w:b/>
          <w:bCs/>
        </w:rPr>
        <w:t xml:space="preserve">5. DISCUSSION  </w:t>
      </w:r>
    </w:p>
    <w:p w14:paraId="7A6D9603" w14:textId="77777777" w:rsidR="00BB6193" w:rsidRPr="00BB6193" w:rsidRDefault="00BB6193" w:rsidP="00BB6193">
      <w:pPr>
        <w:rPr>
          <w:b/>
          <w:bCs/>
        </w:rPr>
      </w:pPr>
      <w:r w:rsidRPr="00BB6193">
        <w:rPr>
          <w:b/>
          <w:bCs/>
        </w:rPr>
        <w:t>5.1. Main Interpretation: The AI Adoption Paradox in Jakarta MSMEs</w:t>
      </w:r>
    </w:p>
    <w:p w14:paraId="5920E42E" w14:textId="77777777" w:rsidR="00BB6193" w:rsidRDefault="00BB6193" w:rsidP="00BB6193">
      <w:pPr>
        <w:jc w:val="both"/>
      </w:pPr>
      <w:r>
        <w:t>The test results show that H1 is rejected: the intensity of AI use does not have a significant effect on the business performance of Jakarta MSMEs (β = 0.085; p = 0.113). This finding confirms the adoption paradox phenomenon: the adoption of advanced technology does not automatically translate into improved performance without the support of complementary resources (Barney, 1991; UNCTAD, 2021).</w:t>
      </w:r>
    </w:p>
    <w:p w14:paraId="5DDE928C" w14:textId="77777777" w:rsidR="00BB6193" w:rsidRDefault="00BB6193" w:rsidP="00BB6193">
      <w:pPr>
        <w:jc w:val="both"/>
      </w:pPr>
      <w:r>
        <w:t>Duan, Edwards, &amp; Dwivedi (2019) emphasize that actual AI use only improves decision quality when organizations have data governance and analytical skills. In the context of Jakarta's micro SMEs, limitations in infrastructure and human resources (Jakarta Provincial ICT Survey, 2023) explain why usage intensity has not yet contributed significantly to performance.</w:t>
      </w:r>
    </w:p>
    <w:p w14:paraId="3EA8FCE5" w14:textId="359A8DD6" w:rsidR="00BB6193" w:rsidRDefault="00BB6193" w:rsidP="00BB6193">
      <w:pPr>
        <w:jc w:val="both"/>
      </w:pPr>
      <w:r>
        <w:t>From the Task-Technology Fit perspective (Goodhue &amp; Thompson, 1995), intensive AI usage without adequate fit risks becoming a routine operational activity</w:t>
      </w:r>
      <w:r>
        <w:t xml:space="preserve">, </w:t>
      </w:r>
      <w:r>
        <w:t>“button pushing”</w:t>
      </w:r>
      <w:r>
        <w:t xml:space="preserve"> </w:t>
      </w:r>
      <w:r>
        <w:t>without a feedback loop that leads to process improvement. The R² value of AI_Usage = 0.074 reinforces the impression that company size only slightly explains the variation in usage intensity; other factors, such as organizational capabilities, digital culture, and ecosystem networks, are more likely to be decisive (Li et al., 2018; Hermanto et al., 2024).</w:t>
      </w:r>
    </w:p>
    <w:p w14:paraId="73FAB694" w14:textId="77777777" w:rsidR="00BB6193" w:rsidRDefault="00BB6193" w:rsidP="00BB6193">
      <w:pPr>
        <w:jc w:val="both"/>
      </w:pPr>
      <w:r>
        <w:t>Furthermore, the study by Badghish &amp; Soomro (2024) shows that dynamic capabilities are a key mediator: without these capabilities, AI usage intensity is difficult to convert into sustainable performance. The current findings reinforce this literature: AI adoption needs to be viewed as part of an organizational capability system, not as a single input that guarantees results.</w:t>
      </w:r>
    </w:p>
    <w:p w14:paraId="743B405A" w14:textId="77777777" w:rsidR="00BB6193" w:rsidRDefault="00BB6193" w:rsidP="00BB6193"/>
    <w:p w14:paraId="2020AED0" w14:textId="77777777" w:rsidR="00BB6193" w:rsidRPr="00BB6193" w:rsidRDefault="00BB6193" w:rsidP="00BB6193">
      <w:pPr>
        <w:rPr>
          <w:b/>
          <w:bCs/>
        </w:rPr>
      </w:pPr>
      <w:r w:rsidRPr="00BB6193">
        <w:rPr>
          <w:b/>
          <w:bCs/>
        </w:rPr>
        <w:lastRenderedPageBreak/>
        <w:t>5.2. The Role of Firm Size as a Direct Contingency</w:t>
      </w:r>
    </w:p>
    <w:p w14:paraId="20DF2D9E" w14:textId="77777777" w:rsidR="00BB6193" w:rsidRPr="00BB6193" w:rsidRDefault="00BB6193" w:rsidP="00BB6193">
      <w:pPr>
        <w:jc w:val="both"/>
        <w:rPr>
          <w:rFonts w:hint="eastAsia"/>
        </w:rPr>
      </w:pPr>
      <w:r>
        <w:rPr>
          <w:rFonts w:hint="eastAsia"/>
        </w:rPr>
        <w:t xml:space="preserve">Analysis shows that firm size directly influences performance but does not moderate the relationship between AI </w:t>
      </w:r>
      <w:r w:rsidRPr="00BB6193">
        <w:rPr>
          <w:rFonts w:hint="eastAsia"/>
        </w:rPr>
        <w:t xml:space="preserve">usage </w:t>
      </w:r>
      <w:r w:rsidRPr="00BB6193">
        <w:rPr>
          <w:rFonts w:hint="eastAsia"/>
        </w:rPr>
        <w:t>→</w:t>
      </w:r>
      <w:r w:rsidRPr="00BB6193">
        <w:rPr>
          <w:rFonts w:hint="eastAsia"/>
        </w:rPr>
        <w:t xml:space="preserve"> performance (moderation is not significant in your data). In other words, the size effect emerges as a main effect.</w:t>
      </w:r>
    </w:p>
    <w:p w14:paraId="2CE5C7E3" w14:textId="77777777" w:rsidR="00BB6193" w:rsidRPr="00BB6193" w:rsidRDefault="00BB6193" w:rsidP="00BB6193">
      <w:pPr>
        <w:jc w:val="both"/>
      </w:pPr>
      <w:r w:rsidRPr="00BB6193">
        <w:rPr>
          <w:rFonts w:hint="eastAsia"/>
        </w:rPr>
        <w:t>For small SMEs, a positive effect on AI usage was found (</w:t>
      </w:r>
      <w:r w:rsidRPr="00BB6193">
        <w:rPr>
          <w:rFonts w:hint="eastAsia"/>
        </w:rPr>
        <w:t>β</w:t>
      </w:r>
      <w:r w:rsidRPr="00BB6193">
        <w:rPr>
          <w:rFonts w:hint="eastAsia"/>
        </w:rPr>
        <w:t xml:space="preserve"> = 0.269; p &lt; 0.001), but the mediating path of AI usage </w:t>
      </w:r>
      <w:r w:rsidRPr="00BB6193">
        <w:rPr>
          <w:rFonts w:hint="eastAsia"/>
        </w:rPr>
        <w:t>→</w:t>
      </w:r>
      <w:r w:rsidRPr="00BB6193">
        <w:rPr>
          <w:rFonts w:hint="eastAsia"/>
        </w:rPr>
        <w:t xml:space="preserve"> performance was not significant (mediation </w:t>
      </w:r>
      <w:r w:rsidRPr="00BB6193">
        <w:rPr>
          <w:rFonts w:hint="eastAsia"/>
        </w:rPr>
        <w:t>β</w:t>
      </w:r>
      <w:r w:rsidRPr="00BB6193">
        <w:rPr>
          <w:rFonts w:hint="eastAsia"/>
        </w:rPr>
        <w:t xml:space="preserve"> = 0.023; p = 0.144). This indicates that small SMEs tend to adopt easily accessible AI solutio</w:t>
      </w:r>
      <w:r w:rsidRPr="00BB6193">
        <w:t>ns (cloud apps, chatbots), but limitations in capital, human resources, and capabilities make such adoption less impactful on actual performance (UNCTAD, 2021; OECD, 2022).</w:t>
      </w:r>
    </w:p>
    <w:p w14:paraId="06321FDE" w14:textId="77777777" w:rsidR="00BB6193" w:rsidRPr="00BB6193" w:rsidRDefault="00BB6193" w:rsidP="00BB6193">
      <w:pPr>
        <w:jc w:val="both"/>
      </w:pPr>
      <w:r w:rsidRPr="00BB6193">
        <w:t>For medium-sized SMEs, AI usage is not significantly correlated (β = 0.091; p = 0.181), but medium size has a strong direct effect on performance (β = 0.548; p &lt; 0.001). Interpretation: Medium-sized SMEs have alternative resources, operational scale, marketing networks, and organizational structures that contribute more to performance than simply the intensity of AI usage. This is in line with the findings of Li et al. (2018), which emphasize the role of entrepreneurial capabilities and organizational context in the digital transformation process of SMEs, not just the intensity of technology usage itself.</w:t>
      </w:r>
    </w:p>
    <w:p w14:paraId="4BFD374D" w14:textId="77777777" w:rsidR="00BB6193" w:rsidRDefault="00BB6193" w:rsidP="00BB6193">
      <w:pPr>
        <w:jc w:val="both"/>
      </w:pPr>
      <w:r w:rsidRPr="00BB6193">
        <w:t>In summary, the data shows that: (a) adoption/usage intensity is not sufficient to drive performance without complementary</w:t>
      </w:r>
      <w:r>
        <w:t xml:space="preserve"> capabilities; (b) company size affects performance through a direct channel (resource/access), not through moderation of AI usage in this sample.</w:t>
      </w:r>
    </w:p>
    <w:p w14:paraId="4C3F72E4" w14:textId="77777777" w:rsidR="00BB6193" w:rsidRPr="00BB6193" w:rsidRDefault="00BB6193" w:rsidP="00BB6193">
      <w:pPr>
        <w:rPr>
          <w:b/>
          <w:bCs/>
        </w:rPr>
      </w:pPr>
      <w:r w:rsidRPr="00BB6193">
        <w:rPr>
          <w:b/>
          <w:bCs/>
        </w:rPr>
        <w:t>5.3 Theoretical Contribution</w:t>
      </w:r>
    </w:p>
    <w:p w14:paraId="39278093" w14:textId="77777777" w:rsidR="00BB6193" w:rsidRDefault="00BB6193" w:rsidP="00BB6193">
      <w:pPr>
        <w:jc w:val="both"/>
      </w:pPr>
      <w:r>
        <w:t xml:space="preserve">This study makes an important contribution to the development of the Technology Acceptance Model (TAM) in a post-adoption context. For more than three decades, TAM has been widely used to explain the intention to use technology, but relatively few studies </w:t>
      </w:r>
      <w:r>
        <w:rPr>
          <w:rFonts w:hint="eastAsia"/>
        </w:rPr>
        <w:t xml:space="preserve">have examined the actual use </w:t>
      </w:r>
      <w:r>
        <w:rPr>
          <w:rFonts w:hint="eastAsia"/>
        </w:rPr>
        <w:t>→</w:t>
      </w:r>
      <w:r>
        <w:rPr>
          <w:rFonts w:hint="eastAsia"/>
        </w:rPr>
        <w:t xml:space="preserve"> performance pathway (Rosli, 2022). The results of this study show that the intensity of AI use does not have a significant effect on the business performance of MSMEs in Jakarta, thereby strengthening the argument that the TA</w:t>
      </w:r>
      <w:r>
        <w:t>M model needs to be expanded with an additional theoretical framework.</w:t>
      </w:r>
    </w:p>
    <w:p w14:paraId="38FAB49A" w14:textId="3B7C68E2" w:rsidR="002E615B" w:rsidRDefault="00BB6193" w:rsidP="00BB6193">
      <w:pPr>
        <w:jc w:val="both"/>
      </w:pPr>
      <w:r>
        <w:t>First, these findings support the Resource-Based View (RBV) perspective that technology can only generate performance advantages when accompanied by complementary resources such as analytical skills, data governance, and digital infrastructure (Barney, 1991; Duan et al., 2019). In other words, usage intensity alone is insufficient to explain performance without complementary assets.</w:t>
      </w:r>
    </w:p>
    <w:p w14:paraId="23C3002A" w14:textId="77777777" w:rsidR="00BB6193" w:rsidRDefault="00BB6193" w:rsidP="00BB6193">
      <w:pPr>
        <w:jc w:val="both"/>
      </w:pPr>
      <w:r>
        <w:t>Second, company size was found to directly influence performance, although it did not function as a moderator. This is consistent with the OECD (2021) finding that SME digitalization is size-dependent, with small businesses often facing resource constraints (liability of smallness) that limit their use of technology.</w:t>
      </w:r>
    </w:p>
    <w:p w14:paraId="0AEA016F" w14:textId="77777777" w:rsidR="00BB6193" w:rsidRDefault="00BB6193" w:rsidP="00BB6193">
      <w:pPr>
        <w:jc w:val="both"/>
      </w:pPr>
      <w:r>
        <w:t>Third, this study highlights the importance of combining TAM with the RBV lens and size contingency when applied in emerging markets. Thus, the post-adoption model cannot be viewed solely from the perspective of individual behavior, but must consider the organizational context, resource constraints, and environmental conditions (Dwivedi et al., 2023; Li et al., 2018).</w:t>
      </w:r>
    </w:p>
    <w:p w14:paraId="4F8DB41E" w14:textId="4E45BF50" w:rsidR="00BB6193" w:rsidRDefault="00BB6193" w:rsidP="00BB6193">
      <w:pPr>
        <w:jc w:val="both"/>
      </w:pPr>
      <w:r>
        <w:lastRenderedPageBreak/>
        <w:t>Overall, this study enriches the literature by emphasizing that technology adoption should be understood as a process tied to organizational capacity and environment, rather than simply an individual usage decision.</w:t>
      </w:r>
    </w:p>
    <w:p w14:paraId="62B96BF9" w14:textId="77777777" w:rsidR="00BB6193" w:rsidRPr="00BB6193" w:rsidRDefault="00BB6193" w:rsidP="00BB6193">
      <w:pPr>
        <w:jc w:val="both"/>
        <w:rPr>
          <w:b/>
          <w:bCs/>
        </w:rPr>
      </w:pPr>
      <w:r w:rsidRPr="00BB6193">
        <w:rPr>
          <w:b/>
          <w:bCs/>
        </w:rPr>
        <w:t>5.4 Policy Implications &amp; Management Practices</w:t>
      </w:r>
    </w:p>
    <w:p w14:paraId="7E702684" w14:textId="77777777" w:rsidR="00BB6193" w:rsidRDefault="00BB6193" w:rsidP="00BB6193">
      <w:pPr>
        <w:jc w:val="both"/>
      </w:pPr>
      <w:r>
        <w:t>The results of this study also have important implications for public policy and MSME management. Local government support programs such as the Jakarta AI-SME Voucher 2.0 should not stop at license subsidies, but should be designed as a comprehensive resource-enablement package (UNCTAD, 2021).</w:t>
      </w:r>
    </w:p>
    <w:p w14:paraId="2F8287D8" w14:textId="77777777" w:rsidR="00BB6193" w:rsidRDefault="00BB6193" w:rsidP="00BB6193">
      <w:pPr>
        <w:jc w:val="both"/>
      </w:pPr>
      <w:r>
        <w:t>First, intensive mentoring for at least three months is needed, focusing on practical application, setting key performance indicators (KPIs), and feedback loop mechanisms. This step helps improve task-technology fit so that AI adoption is not merely routine use but truly supports core business processes (Goodhue &amp; Thompson, 1995).</w:t>
      </w:r>
    </w:p>
    <w:p w14:paraId="3DA246E8" w14:textId="77777777" w:rsidR="00BB6193" w:rsidRDefault="00BB6193" w:rsidP="00BB6193">
      <w:pPr>
        <w:jc w:val="both"/>
      </w:pPr>
      <w:r>
        <w:t>Second, digital infrastructure support needs to be a priority, for example in the form of cloud credits and subsidies for adequate internet connection speeds. Without a basic data pipeline, AI usage is difficult to integrate into daily business processes (OECD, 2021).</w:t>
      </w:r>
    </w:p>
    <w:p w14:paraId="1586F92B" w14:textId="77777777" w:rsidR="00BB6193" w:rsidRDefault="00BB6193" w:rsidP="00BB6193">
      <w:pPr>
        <w:jc w:val="both"/>
      </w:pPr>
      <w:r>
        <w:t>Third, program budget allocation needs to be strategically directed. As research shows that small SMEs tend to be more interested in adopting AI (β = 0.269) but are constrained by limited resources, at least 60% of the budget should be allocated to this group.</w:t>
      </w:r>
    </w:p>
    <w:p w14:paraId="761193A6" w14:textId="77777777" w:rsidR="00BB6193" w:rsidRDefault="00BB6193" w:rsidP="00BB6193">
      <w:pPr>
        <w:jc w:val="both"/>
      </w:pPr>
      <w:r>
        <w:t>Finally, the effectiveness of interventions must be measured through measurable ROI indicators. Mentoring should report weekly business benefits so that MSME managers can see concrete evidence of digital investment. This is in line with the findings of the OECD (2021) and Hermanto et al. (2024) that absorptive capacity is a determining factor for AI to truly provide added value.</w:t>
      </w:r>
    </w:p>
    <w:p w14:paraId="1B5A4DE1" w14:textId="77777777" w:rsidR="00BB6193" w:rsidRPr="00BB6193" w:rsidRDefault="00BB6193" w:rsidP="00BB6193">
      <w:pPr>
        <w:jc w:val="both"/>
        <w:rPr>
          <w:b/>
          <w:bCs/>
        </w:rPr>
      </w:pPr>
      <w:r w:rsidRPr="00BB6193">
        <w:rPr>
          <w:b/>
          <w:bCs/>
        </w:rPr>
        <w:t>5.5. Research Limitations</w:t>
      </w:r>
    </w:p>
    <w:p w14:paraId="726A6CE7" w14:textId="77777777" w:rsidR="00BB6193" w:rsidRDefault="00BB6193" w:rsidP="00BB6193">
      <w:pPr>
        <w:jc w:val="both"/>
      </w:pPr>
      <w:r>
        <w:t>Every study has limitations that need to be noted so that the results can be understood proportionally. This study is no exception.</w:t>
      </w:r>
    </w:p>
    <w:p w14:paraId="77E0D4A6" w14:textId="77777777" w:rsidR="00BB6193" w:rsidRDefault="00BB6193" w:rsidP="00BB6193">
      <w:pPr>
        <w:jc w:val="both"/>
      </w:pPr>
      <w:r>
        <w:t>First, this study has a cross-sectional design, which does not allow for capturing the dynamics of changes in AI usage intensity over time. In fact, recent literature emphasizes that the MSME digitalization process is gradual and requires a long adaptation period (Zhao et al., 2025). Therefore, longitudinal research is needed to observe the AI usage trajectory in the medium and long term.</w:t>
      </w:r>
    </w:p>
    <w:p w14:paraId="074AD287" w14:textId="77777777" w:rsidR="00BB6193" w:rsidRDefault="00BB6193" w:rsidP="00BB6193">
      <w:pPr>
        <w:jc w:val="both"/>
      </w:pPr>
      <w:r>
        <w:t>Second, business performance data was collected through self-reported instruments, which are prone to memory bias and perception bias. The use of more objective performance indicators, such as official turnover from tax returns or verified financial reports, would increase the external validity of the research results.</w:t>
      </w:r>
    </w:p>
    <w:p w14:paraId="5C7B4003" w14:textId="77777777" w:rsidR="00BB6193" w:rsidRDefault="00BB6193" w:rsidP="00BB6193">
      <w:pPr>
        <w:jc w:val="both"/>
      </w:pPr>
      <w:r>
        <w:t>Third, this study does not distinguish between the types of AI tools used. However, the impact of AI can vary depending on the category of use: chatbots, predictive analytics, or computer vision may have different contributions to performance (Duan et al., 2019). Future research needs to group AI tools to capture more specific variations in effects.</w:t>
      </w:r>
    </w:p>
    <w:p w14:paraId="7F538B0D" w14:textId="77777777" w:rsidR="00BB6193" w:rsidRDefault="00BB6193" w:rsidP="00BB6193">
      <w:pPr>
        <w:jc w:val="both"/>
      </w:pPr>
      <w:r>
        <w:lastRenderedPageBreak/>
        <w:t>Fourth, the research sample was limited to the retail, food, and creative services sectors in Jakarta. The results of this study may not be generalizable to other sectors, such as manufacturing or agriculture, which have different business process characteristics (OECD, 2021).</w:t>
      </w:r>
    </w:p>
    <w:p w14:paraId="430A7B5E" w14:textId="77777777" w:rsidR="00BB6193" w:rsidRDefault="00BB6193" w:rsidP="00BB6193">
      <w:pPr>
        <w:jc w:val="both"/>
      </w:pPr>
      <w:r>
        <w:t>Thus, although this study makes a significant contribution, its results need to be interpreted with caution, especially regarding cross-sector generalization, AI categories, and long-term dynamics.</w:t>
      </w:r>
    </w:p>
    <w:p w14:paraId="16A1F70E" w14:textId="77777777" w:rsidR="00BB6193" w:rsidRPr="00BB6193" w:rsidRDefault="00BB6193" w:rsidP="00BB6193">
      <w:pPr>
        <w:jc w:val="both"/>
        <w:rPr>
          <w:b/>
          <w:bCs/>
        </w:rPr>
      </w:pPr>
      <w:r w:rsidRPr="00BB6193">
        <w:rPr>
          <w:b/>
          <w:bCs/>
        </w:rPr>
        <w:t>5.6. Future Research Agenda</w:t>
      </w:r>
    </w:p>
    <w:p w14:paraId="5E8F80AB" w14:textId="77777777" w:rsidR="00BB6193" w:rsidRDefault="00BB6193" w:rsidP="00BB6193">
      <w:pPr>
        <w:jc w:val="both"/>
      </w:pPr>
      <w:r>
        <w:t>The limitations outlined above pave the way for the next research agenda.</w:t>
      </w:r>
    </w:p>
    <w:p w14:paraId="23975F29" w14:textId="4247FCE2" w:rsidR="00BB6193" w:rsidRDefault="00BB6193" w:rsidP="00BB6193">
      <w:pPr>
        <w:jc w:val="both"/>
      </w:pPr>
      <w:r>
        <w:t>First, objective data-based longitudinal research needs to be conducted. In line with the OECD (2021) recommendation, a study with two time points (T1 and T2) over 8–12 months would be better at capturing AI usage patterns over time (usage trajectory). Additionally, using tax returns or official financial statements as performance indicators would reduce subjective bias and enhance the credibility of results.</w:t>
      </w:r>
    </w:p>
    <w:p w14:paraId="1FD440D8" w14:textId="77777777" w:rsidR="00BB6193" w:rsidRDefault="00BB6193" w:rsidP="00BB6193">
      <w:pPr>
        <w:jc w:val="both"/>
      </w:pPr>
      <w:r>
        <w:t>Second, a new conceptual framework needs to be developed that integrates TAM, RBV, and digital infrastructure, for example through what could be called an AI Resource-Enablement Framework. This model could include indicators such as cloud readiness index, mentor availability, and regulatory sandbox. Empirical testing could be conducted using multigroup CB-SEM (e.g., comparing small vs. medium SMEs) to explore whether resource prerequisites can strengthen the path from AI usage to performance.</w:t>
      </w:r>
    </w:p>
    <w:p w14:paraId="2CC85697" w14:textId="77777777" w:rsidR="00BB6193" w:rsidRDefault="00BB6193" w:rsidP="00BB6193">
      <w:pPr>
        <w:jc w:val="both"/>
      </w:pPr>
      <w:r>
        <w:t>Third, future research is advised to adopt a mixed-methods approach. Quantitative analysis through CB-SEM can provide an overview of the pattern of variable relationships, while case study-based qualitative studies can delve into the internal mechanisms—how successful small MSMEs are able to convert AI usage into performance improvement. This approach allows researchers to understand not only whether AI has an impact, but also how that impact is created (Li et al., 2018; Wang &amp; Zhang, 2025).</w:t>
      </w:r>
    </w:p>
    <w:p w14:paraId="1CAEBA92" w14:textId="77777777" w:rsidR="00BB6193" w:rsidRDefault="00BB6193" w:rsidP="00BB6193">
      <w:pPr>
        <w:jc w:val="both"/>
      </w:pPr>
      <w:r>
        <w:t>Thus, the future research agenda will be more comprehensive in answering critical questions that remain open: how AI usage evolves over time, how variations in AI types affect performance, and what factors bridge adoption to sustainable business value.</w:t>
      </w:r>
    </w:p>
    <w:p w14:paraId="7638331A" w14:textId="77777777" w:rsidR="00BB6193" w:rsidRDefault="00BB6193" w:rsidP="00BB6193">
      <w:pPr>
        <w:jc w:val="both"/>
      </w:pPr>
    </w:p>
    <w:p w14:paraId="650D51E5" w14:textId="77777777" w:rsidR="00BB6193" w:rsidRPr="00BB6193" w:rsidRDefault="00BB6193" w:rsidP="00BB6193">
      <w:pPr>
        <w:jc w:val="both"/>
        <w:rPr>
          <w:b/>
          <w:bCs/>
        </w:rPr>
      </w:pPr>
      <w:r w:rsidRPr="00BB6193">
        <w:rPr>
          <w:b/>
          <w:bCs/>
        </w:rPr>
        <w:t xml:space="preserve">6. CONCLUSION  </w:t>
      </w:r>
    </w:p>
    <w:p w14:paraId="4B0BBC4C" w14:textId="77777777" w:rsidR="00BB6193" w:rsidRDefault="00BB6193" w:rsidP="00BB6193">
      <w:pPr>
        <w:jc w:val="both"/>
      </w:pPr>
      <w:r>
        <w:t>This study examines the AI adoption paradox in 300 Jakarta SMEs using the TAM model expanded by RBV and company size as contingency variables. CB-SEM results show that AI usage intensity does not significantly affect business performance, supporting the view that advanced technology does not automatically generate advantages without complementary resources. Conversely, company size emerges as a stronger direct predictor of performance, both for small and medium SMEs, while the mediating path of AI usage proves insignificant.</w:t>
      </w:r>
    </w:p>
    <w:p w14:paraId="1C437DFD" w14:textId="77777777" w:rsidR="00BB6193" w:rsidRDefault="00BB6193" w:rsidP="00BB6193">
      <w:pPr>
        <w:jc w:val="both"/>
      </w:pPr>
      <w:r>
        <w:t xml:space="preserve">These findings have two main implications. First, theoretically, this study expands the post-adoption TAM literature by demonstrating the importance of integrating the RBV perspective and considering organizational contingency factors such as company size. Thus, this study confirms that usage intensity will only create value when supported by organizational capabilities and supporting resources. Second, practically, the results emphasize the need for comprehensive policy interventions, not just technology license subsidies. Support programs for SMEs should focus on increasing absorptive capacity through </w:t>
      </w:r>
      <w:r>
        <w:lastRenderedPageBreak/>
        <w:t>training, mentoring, and adequate digital infrastructure, with priority given to small businesses that have a high interest in adoption but are constrained by resources.</w:t>
      </w:r>
    </w:p>
    <w:p w14:paraId="6445063C" w14:textId="77777777" w:rsidR="00BB6193" w:rsidRDefault="00BB6193" w:rsidP="00BB6193">
      <w:pPr>
        <w:jc w:val="both"/>
      </w:pPr>
      <w:r>
        <w:t>As with other studies, this study has limitations, including the cross-sectional nature of the data, the use of self-reported performance indicators, and limited sector coverage. Therefore, future research is recommended to adopt a longitudinal design, utilize objective performance data, and apply a mixed-methods approach to explore the mechanisms of converting AI usage into business value.</w:t>
      </w:r>
    </w:p>
    <w:p w14:paraId="1D268EC3" w14:textId="470D15E5" w:rsidR="00BB6193" w:rsidRDefault="00BB6193" w:rsidP="00BB6193">
      <w:pPr>
        <w:jc w:val="both"/>
      </w:pPr>
      <w:r>
        <w:t>Overall, the main conclusion of this study is that AI adoption will only be effective if accompanied by dynamic capabilities, digital infrastructure support, and comprehensive public policies. Without these, the intensity of technology use tends to be insufficient to generate sustainable competitive advantages for MSMEs in developing markets.</w:t>
      </w:r>
    </w:p>
    <w:p w14:paraId="19841322" w14:textId="77777777" w:rsidR="00BB6193" w:rsidRDefault="00BB6193" w:rsidP="00BB6193">
      <w:pPr>
        <w:jc w:val="both"/>
      </w:pPr>
    </w:p>
    <w:p w14:paraId="4B710CD8" w14:textId="2BDEF62E" w:rsidR="00BB6193" w:rsidRDefault="00BB6193" w:rsidP="00BB6193">
      <w:pPr>
        <w:jc w:val="both"/>
        <w:rPr>
          <w:b/>
          <w:bCs/>
        </w:rPr>
      </w:pPr>
      <w:r>
        <w:rPr>
          <w:b/>
          <w:bCs/>
        </w:rPr>
        <w:t>Acknowledgment</w:t>
      </w:r>
    </w:p>
    <w:p w14:paraId="76B66453" w14:textId="705A6FEB" w:rsidR="00BB6193" w:rsidRDefault="00BB6193" w:rsidP="00BB6193">
      <w:pPr>
        <w:jc w:val="both"/>
      </w:pPr>
      <w:r w:rsidRPr="00BB6193">
        <w:t>All authors contributed equally to the paper. AI was used to translate from Indonesian to English (DeepL) and to check the logical flow of the text (ChatGPT).</w:t>
      </w:r>
    </w:p>
    <w:p w14:paraId="6C3E63C1" w14:textId="77777777" w:rsidR="00BB6193" w:rsidRDefault="00BB6193" w:rsidP="00BB6193">
      <w:pPr>
        <w:jc w:val="both"/>
      </w:pPr>
    </w:p>
    <w:p w14:paraId="1ADBD2B2" w14:textId="33BC5ACD" w:rsidR="00BB6193" w:rsidRDefault="00BB6193" w:rsidP="00BB6193">
      <w:pPr>
        <w:jc w:val="both"/>
        <w:rPr>
          <w:b/>
          <w:bCs/>
        </w:rPr>
      </w:pPr>
      <w:r>
        <w:rPr>
          <w:b/>
          <w:bCs/>
        </w:rPr>
        <w:t>References</w:t>
      </w:r>
    </w:p>
    <w:p w14:paraId="03F39985" w14:textId="77777777" w:rsidR="003921E4" w:rsidRPr="003528E2" w:rsidRDefault="003921E4" w:rsidP="003921E4">
      <w:pPr>
        <w:rPr>
          <w:rFonts w:ascii="Calibri" w:hAnsi="Calibri" w:cs="Calibri"/>
        </w:rPr>
      </w:pPr>
      <w:r w:rsidRPr="003528E2">
        <w:rPr>
          <w:rFonts w:ascii="Calibri" w:hAnsi="Calibri" w:cs="Calibri"/>
        </w:rPr>
        <w:t xml:space="preserve">ASEAN. (2023). ASEAN AI readiness index 2023. </w:t>
      </w:r>
      <w:hyperlink r:id="rId5" w:tgtFrame="_blank" w:history="1">
        <w:r w:rsidRPr="003528E2">
          <w:rPr>
            <w:rStyle w:val="Hyperlink"/>
            <w:rFonts w:ascii="Calibri" w:hAnsi="Calibri" w:cs="Calibri"/>
          </w:rPr>
          <w:t>https://asean.org/asean-ai-readiness-index-2023</w:t>
        </w:r>
      </w:hyperlink>
    </w:p>
    <w:p w14:paraId="33552CC1" w14:textId="77777777" w:rsidR="003921E4" w:rsidRPr="003528E2" w:rsidRDefault="003921E4" w:rsidP="003921E4">
      <w:pPr>
        <w:rPr>
          <w:rFonts w:ascii="Calibri" w:hAnsi="Calibri" w:cs="Calibri"/>
        </w:rPr>
      </w:pPr>
      <w:r w:rsidRPr="003528E2">
        <w:rPr>
          <w:rFonts w:ascii="Calibri" w:hAnsi="Calibri" w:cs="Calibri"/>
        </w:rPr>
        <w:t xml:space="preserve">ASEAN / Oxford Insights. (2023). </w:t>
      </w:r>
      <w:r w:rsidRPr="003528E2">
        <w:rPr>
          <w:rFonts w:ascii="Calibri" w:hAnsi="Calibri" w:cs="Calibri"/>
          <w:i/>
          <w:iCs/>
        </w:rPr>
        <w:t>Government AI readiness index 2023</w:t>
      </w:r>
      <w:r w:rsidRPr="003528E2">
        <w:rPr>
          <w:rFonts w:ascii="Calibri" w:hAnsi="Calibri" w:cs="Calibri"/>
        </w:rPr>
        <w:t xml:space="preserve">. Oxford Insights. </w:t>
      </w:r>
      <w:hyperlink r:id="rId6" w:tgtFrame="_new" w:history="1">
        <w:r w:rsidRPr="003528E2">
          <w:rPr>
            <w:rStyle w:val="Hyperlink"/>
            <w:rFonts w:ascii="Calibri" w:hAnsi="Calibri" w:cs="Calibri"/>
          </w:rPr>
          <w:t>https://oxfordinsights.com/wp-content/uploads/2023/12/2023-Government-AI-Readiness-Index-1.pdf</w:t>
        </w:r>
      </w:hyperlink>
    </w:p>
    <w:p w14:paraId="65A2ACBF" w14:textId="77777777" w:rsidR="003921E4" w:rsidRPr="003528E2" w:rsidRDefault="003921E4" w:rsidP="003921E4">
      <w:pPr>
        <w:rPr>
          <w:rFonts w:ascii="Calibri" w:hAnsi="Calibri" w:cs="Calibri"/>
        </w:rPr>
      </w:pPr>
      <w:r w:rsidRPr="003528E2">
        <w:rPr>
          <w:rFonts w:ascii="Calibri" w:hAnsi="Calibri" w:cs="Calibri"/>
        </w:rPr>
        <w:t xml:space="preserve">Badghish, S., &amp; Soomro, Y. A. (2024). Artificial intelligence adoption by SMEs to achieve sustainable business performance. </w:t>
      </w:r>
      <w:r w:rsidRPr="003528E2">
        <w:rPr>
          <w:rFonts w:ascii="Calibri" w:hAnsi="Calibri" w:cs="Calibri"/>
          <w:i/>
          <w:iCs/>
        </w:rPr>
        <w:t>Sustainability</w:t>
      </w:r>
      <w:r w:rsidRPr="003528E2">
        <w:rPr>
          <w:rFonts w:ascii="Calibri" w:hAnsi="Calibri" w:cs="Calibri"/>
        </w:rPr>
        <w:t xml:space="preserve">, </w:t>
      </w:r>
      <w:r w:rsidRPr="003528E2">
        <w:rPr>
          <w:rFonts w:ascii="Calibri" w:hAnsi="Calibri" w:cs="Calibri"/>
          <w:i/>
          <w:iCs/>
        </w:rPr>
        <w:t>16</w:t>
      </w:r>
      <w:r w:rsidRPr="003528E2">
        <w:rPr>
          <w:rFonts w:ascii="Calibri" w:hAnsi="Calibri" w:cs="Calibri"/>
        </w:rPr>
        <w:t xml:space="preserve">(5), 1864. </w:t>
      </w:r>
      <w:hyperlink r:id="rId7" w:tgtFrame="_blank" w:history="1">
        <w:r w:rsidRPr="003528E2">
          <w:rPr>
            <w:rStyle w:val="Hyperlink"/>
            <w:rFonts w:ascii="Calibri" w:hAnsi="Calibri" w:cs="Calibri"/>
          </w:rPr>
          <w:t>https://doi.org/10.3390/su16051864</w:t>
        </w:r>
      </w:hyperlink>
    </w:p>
    <w:p w14:paraId="2CCA03EA" w14:textId="77777777" w:rsidR="003921E4" w:rsidRPr="003528E2" w:rsidRDefault="003921E4" w:rsidP="003921E4">
      <w:pPr>
        <w:rPr>
          <w:rFonts w:ascii="Calibri" w:hAnsi="Calibri" w:cs="Calibri"/>
        </w:rPr>
      </w:pPr>
      <w:r w:rsidRPr="003528E2">
        <w:rPr>
          <w:rFonts w:ascii="Calibri" w:hAnsi="Calibri" w:cs="Calibri"/>
        </w:rPr>
        <w:t xml:space="preserve">Barney, J. B. (1991). Firm resources and sustained competitive advantage. </w:t>
      </w:r>
      <w:r w:rsidRPr="003528E2">
        <w:rPr>
          <w:rFonts w:ascii="Calibri" w:hAnsi="Calibri" w:cs="Calibri"/>
          <w:i/>
          <w:iCs/>
        </w:rPr>
        <w:t>Journal of Management</w:t>
      </w:r>
      <w:r w:rsidRPr="003528E2">
        <w:rPr>
          <w:rFonts w:ascii="Calibri" w:hAnsi="Calibri" w:cs="Calibri"/>
        </w:rPr>
        <w:t xml:space="preserve">, </w:t>
      </w:r>
      <w:r w:rsidRPr="003528E2">
        <w:rPr>
          <w:rFonts w:ascii="Calibri" w:hAnsi="Calibri" w:cs="Calibri"/>
          <w:i/>
          <w:iCs/>
        </w:rPr>
        <w:t>17</w:t>
      </w:r>
      <w:r w:rsidRPr="003528E2">
        <w:rPr>
          <w:rFonts w:ascii="Calibri" w:hAnsi="Calibri" w:cs="Calibri"/>
        </w:rPr>
        <w:t xml:space="preserve">(1), 99-120. </w:t>
      </w:r>
      <w:hyperlink r:id="rId8" w:tgtFrame="_blank" w:history="1">
        <w:r w:rsidRPr="003528E2">
          <w:rPr>
            <w:rStyle w:val="Hyperlink"/>
            <w:rFonts w:ascii="Calibri" w:hAnsi="Calibri" w:cs="Calibri"/>
          </w:rPr>
          <w:t>https://doi.org/10.1177/014920639101700108</w:t>
        </w:r>
      </w:hyperlink>
    </w:p>
    <w:p w14:paraId="5D04EA65" w14:textId="77777777" w:rsidR="003921E4" w:rsidRPr="003528E2" w:rsidRDefault="003921E4" w:rsidP="003921E4">
      <w:pPr>
        <w:rPr>
          <w:rFonts w:ascii="Calibri" w:hAnsi="Calibri" w:cs="Calibri"/>
        </w:rPr>
      </w:pPr>
      <w:r w:rsidRPr="003528E2">
        <w:rPr>
          <w:rFonts w:ascii="Calibri" w:hAnsi="Calibri" w:cs="Calibri"/>
        </w:rPr>
        <w:t xml:space="preserve">BPS-DKI Jakarta. (2023). </w:t>
      </w:r>
      <w:r w:rsidRPr="003528E2">
        <w:rPr>
          <w:rFonts w:ascii="Calibri" w:hAnsi="Calibri" w:cs="Calibri"/>
          <w:i/>
          <w:iCs/>
        </w:rPr>
        <w:t>Jumlah UMKM menurut sektor dan wilayah di DKI Jakarta 2023</w:t>
      </w:r>
      <w:r w:rsidRPr="003528E2">
        <w:rPr>
          <w:rFonts w:ascii="Calibri" w:hAnsi="Calibri" w:cs="Calibri"/>
        </w:rPr>
        <w:t xml:space="preserve">. </w:t>
      </w:r>
      <w:hyperlink r:id="rId9" w:tgtFrame="_blank" w:history="1">
        <w:r w:rsidRPr="003528E2">
          <w:rPr>
            <w:rStyle w:val="Hyperlink"/>
            <w:rFonts w:ascii="Calibri" w:hAnsi="Calibri" w:cs="Calibri"/>
          </w:rPr>
          <w:t>https://jakarta.bps.go.id</w:t>
        </w:r>
      </w:hyperlink>
    </w:p>
    <w:p w14:paraId="20A0FBFC" w14:textId="77777777" w:rsidR="003921E4" w:rsidRPr="003528E2" w:rsidRDefault="003921E4" w:rsidP="003921E4">
      <w:pPr>
        <w:rPr>
          <w:rFonts w:ascii="Calibri" w:hAnsi="Calibri" w:cs="Calibri"/>
        </w:rPr>
      </w:pPr>
      <w:r w:rsidRPr="003528E2">
        <w:rPr>
          <w:rFonts w:ascii="Calibri" w:hAnsi="Calibri" w:cs="Calibri"/>
        </w:rPr>
        <w:t xml:space="preserve">Davis, F. D. (1989). Perceived usefulness, perceived ease of use, and user acceptance of information technology. </w:t>
      </w:r>
      <w:r w:rsidRPr="003528E2">
        <w:rPr>
          <w:rFonts w:ascii="Calibri" w:hAnsi="Calibri" w:cs="Calibri"/>
          <w:i/>
          <w:iCs/>
        </w:rPr>
        <w:t>MIS Quarterly</w:t>
      </w:r>
      <w:r w:rsidRPr="003528E2">
        <w:rPr>
          <w:rFonts w:ascii="Calibri" w:hAnsi="Calibri" w:cs="Calibri"/>
        </w:rPr>
        <w:t xml:space="preserve">, </w:t>
      </w:r>
      <w:r w:rsidRPr="003528E2">
        <w:rPr>
          <w:rFonts w:ascii="Calibri" w:hAnsi="Calibri" w:cs="Calibri"/>
          <w:i/>
          <w:iCs/>
        </w:rPr>
        <w:t>13</w:t>
      </w:r>
      <w:r w:rsidRPr="003528E2">
        <w:rPr>
          <w:rFonts w:ascii="Calibri" w:hAnsi="Calibri" w:cs="Calibri"/>
        </w:rPr>
        <w:t xml:space="preserve">(3), 319-340. </w:t>
      </w:r>
      <w:hyperlink r:id="rId10" w:tgtFrame="_blank" w:history="1">
        <w:r w:rsidRPr="003528E2">
          <w:rPr>
            <w:rStyle w:val="Hyperlink"/>
            <w:rFonts w:ascii="Calibri" w:hAnsi="Calibri" w:cs="Calibri"/>
          </w:rPr>
          <w:t>https://doi.org/10.2307/249008</w:t>
        </w:r>
      </w:hyperlink>
    </w:p>
    <w:p w14:paraId="5AEFBD79" w14:textId="77777777" w:rsidR="003921E4" w:rsidRPr="003528E2" w:rsidRDefault="003921E4" w:rsidP="003921E4">
      <w:pPr>
        <w:rPr>
          <w:rFonts w:ascii="Calibri" w:hAnsi="Calibri" w:cs="Calibri"/>
        </w:rPr>
      </w:pPr>
      <w:r w:rsidRPr="003528E2">
        <w:rPr>
          <w:rFonts w:ascii="Calibri" w:hAnsi="Calibri" w:cs="Calibri"/>
        </w:rPr>
        <w:t xml:space="preserve">Duan, Y., Edwards, J. S., &amp; Dwivedi, Y. K. (2019). Artificial intelligence for decision making in the era of Big Data–evolution, challenges and research agenda. </w:t>
      </w:r>
      <w:r w:rsidRPr="003528E2">
        <w:rPr>
          <w:rFonts w:ascii="Calibri" w:hAnsi="Calibri" w:cs="Calibri"/>
          <w:i/>
          <w:iCs/>
        </w:rPr>
        <w:t>International Journal of Information Management</w:t>
      </w:r>
      <w:r w:rsidRPr="003528E2">
        <w:rPr>
          <w:rFonts w:ascii="Calibri" w:hAnsi="Calibri" w:cs="Calibri"/>
        </w:rPr>
        <w:t xml:space="preserve">, </w:t>
      </w:r>
      <w:r w:rsidRPr="003528E2">
        <w:rPr>
          <w:rFonts w:ascii="Calibri" w:hAnsi="Calibri" w:cs="Calibri"/>
          <w:i/>
          <w:iCs/>
        </w:rPr>
        <w:t>48</w:t>
      </w:r>
      <w:r w:rsidRPr="003528E2">
        <w:rPr>
          <w:rFonts w:ascii="Calibri" w:hAnsi="Calibri" w:cs="Calibri"/>
        </w:rPr>
        <w:t xml:space="preserve">, 63-71. </w:t>
      </w:r>
      <w:hyperlink r:id="rId11" w:tgtFrame="_blank" w:history="1">
        <w:r w:rsidRPr="003528E2">
          <w:rPr>
            <w:rStyle w:val="Hyperlink"/>
            <w:rFonts w:ascii="Calibri" w:hAnsi="Calibri" w:cs="Calibri"/>
          </w:rPr>
          <w:t>https://doi.org/10.1016/j.ijinfomgt.2019.01.021</w:t>
        </w:r>
      </w:hyperlink>
    </w:p>
    <w:p w14:paraId="3A44BD60" w14:textId="77777777" w:rsidR="003921E4" w:rsidRPr="003528E2" w:rsidRDefault="003921E4" w:rsidP="003921E4">
      <w:pPr>
        <w:rPr>
          <w:rFonts w:ascii="Calibri" w:hAnsi="Calibri" w:cs="Calibri"/>
        </w:rPr>
      </w:pPr>
      <w:r w:rsidRPr="003528E2">
        <w:rPr>
          <w:rFonts w:ascii="Calibri" w:hAnsi="Calibri" w:cs="Calibri"/>
        </w:rPr>
        <w:t xml:space="preserve">Dwivedi, Y. K., Kshetri, N., Hughes, L., Slade, E. L., Jeyaraj, A., Kar, A. K., … &amp; Wright, R. (2023). “So what if ChatGPT wrote it?” Multidisciplinary perspectives on generative conversational AI. </w:t>
      </w:r>
      <w:r w:rsidRPr="003528E2">
        <w:rPr>
          <w:rFonts w:ascii="Calibri" w:hAnsi="Calibri" w:cs="Calibri"/>
          <w:i/>
          <w:iCs/>
        </w:rPr>
        <w:t>International Journal of Information Management</w:t>
      </w:r>
      <w:r w:rsidRPr="003528E2">
        <w:rPr>
          <w:rFonts w:ascii="Calibri" w:hAnsi="Calibri" w:cs="Calibri"/>
        </w:rPr>
        <w:t xml:space="preserve">, </w:t>
      </w:r>
      <w:r w:rsidRPr="003528E2">
        <w:rPr>
          <w:rFonts w:ascii="Calibri" w:hAnsi="Calibri" w:cs="Calibri"/>
          <w:i/>
          <w:iCs/>
        </w:rPr>
        <w:t>71</w:t>
      </w:r>
      <w:r w:rsidRPr="003528E2">
        <w:rPr>
          <w:rFonts w:ascii="Calibri" w:hAnsi="Calibri" w:cs="Calibri"/>
        </w:rPr>
        <w:t xml:space="preserve">, 102642. </w:t>
      </w:r>
      <w:hyperlink r:id="rId12" w:tgtFrame="_blank" w:history="1">
        <w:r w:rsidRPr="003528E2">
          <w:rPr>
            <w:rStyle w:val="Hyperlink"/>
            <w:rFonts w:ascii="Calibri" w:hAnsi="Calibri" w:cs="Calibri"/>
          </w:rPr>
          <w:t>https://doi.org/10.1016/j.ijinfomgt.2023.102642</w:t>
        </w:r>
      </w:hyperlink>
    </w:p>
    <w:p w14:paraId="7A21CD5C" w14:textId="77777777" w:rsidR="003921E4" w:rsidRPr="003528E2" w:rsidRDefault="003921E4" w:rsidP="003921E4">
      <w:pPr>
        <w:rPr>
          <w:rFonts w:ascii="Calibri" w:hAnsi="Calibri" w:cs="Calibri"/>
        </w:rPr>
      </w:pPr>
      <w:r w:rsidRPr="003528E2">
        <w:rPr>
          <w:rFonts w:ascii="Calibri" w:hAnsi="Calibri" w:cs="Calibri"/>
        </w:rPr>
        <w:t xml:space="preserve">Goodhue, D. L., &amp; Thompson, R. L. (1995). Task-technology fit and individual performance. </w:t>
      </w:r>
      <w:r w:rsidRPr="003528E2">
        <w:rPr>
          <w:rFonts w:ascii="Calibri" w:hAnsi="Calibri" w:cs="Calibri"/>
          <w:i/>
          <w:iCs/>
        </w:rPr>
        <w:t>MIS Quarterly</w:t>
      </w:r>
      <w:r w:rsidRPr="003528E2">
        <w:rPr>
          <w:rFonts w:ascii="Calibri" w:hAnsi="Calibri" w:cs="Calibri"/>
        </w:rPr>
        <w:t xml:space="preserve">, </w:t>
      </w:r>
      <w:r w:rsidRPr="003528E2">
        <w:rPr>
          <w:rFonts w:ascii="Calibri" w:hAnsi="Calibri" w:cs="Calibri"/>
          <w:i/>
          <w:iCs/>
        </w:rPr>
        <w:t>19</w:t>
      </w:r>
      <w:r w:rsidRPr="003528E2">
        <w:rPr>
          <w:rFonts w:ascii="Calibri" w:hAnsi="Calibri" w:cs="Calibri"/>
        </w:rPr>
        <w:t xml:space="preserve">(2), 213-236. </w:t>
      </w:r>
      <w:hyperlink r:id="rId13" w:tgtFrame="_blank" w:history="1">
        <w:r w:rsidRPr="003528E2">
          <w:rPr>
            <w:rStyle w:val="Hyperlink"/>
            <w:rFonts w:ascii="Calibri" w:hAnsi="Calibri" w:cs="Calibri"/>
          </w:rPr>
          <w:t>https://doi.org/10.2307/249689</w:t>
        </w:r>
      </w:hyperlink>
    </w:p>
    <w:p w14:paraId="7DD0392E" w14:textId="77777777" w:rsidR="003921E4" w:rsidRPr="003528E2" w:rsidRDefault="003921E4" w:rsidP="003921E4">
      <w:pPr>
        <w:rPr>
          <w:rFonts w:ascii="Calibri" w:hAnsi="Calibri" w:cs="Calibri"/>
        </w:rPr>
      </w:pPr>
      <w:r w:rsidRPr="003528E2">
        <w:rPr>
          <w:rFonts w:ascii="Calibri" w:hAnsi="Calibri" w:cs="Calibri"/>
        </w:rPr>
        <w:lastRenderedPageBreak/>
        <w:t xml:space="preserve">Hair, J. F., Howard, M. C., &amp; Nitzl, C. (2019). Essentials of business research methods (4th ed.). Routledge. </w:t>
      </w:r>
      <w:hyperlink r:id="rId14" w:tgtFrame="_blank" w:history="1">
        <w:r w:rsidRPr="003528E2">
          <w:rPr>
            <w:rStyle w:val="Hyperlink"/>
            <w:rFonts w:ascii="Calibri" w:hAnsi="Calibri" w:cs="Calibri"/>
          </w:rPr>
          <w:t>https://doi.org/10.4324/9780429203374</w:t>
        </w:r>
      </w:hyperlink>
    </w:p>
    <w:p w14:paraId="382E962B" w14:textId="77777777" w:rsidR="003921E4" w:rsidRPr="003528E2" w:rsidRDefault="003921E4" w:rsidP="003921E4">
      <w:pPr>
        <w:rPr>
          <w:rFonts w:ascii="Calibri" w:hAnsi="Calibri" w:cs="Calibri"/>
        </w:rPr>
      </w:pPr>
      <w:r w:rsidRPr="003528E2">
        <w:rPr>
          <w:rFonts w:ascii="Calibri" w:hAnsi="Calibri" w:cs="Calibri"/>
        </w:rPr>
        <w:t xml:space="preserve">Hansen, E. B., &amp; Bøgh, S. (2021). Artificial intelligence and internet of things in SMEs: A survey. </w:t>
      </w:r>
      <w:r w:rsidRPr="003528E2">
        <w:rPr>
          <w:rFonts w:ascii="Calibri" w:hAnsi="Calibri" w:cs="Calibri"/>
          <w:i/>
          <w:iCs/>
        </w:rPr>
        <w:t>Journal of Manufacturing Systems</w:t>
      </w:r>
      <w:r w:rsidRPr="003528E2">
        <w:rPr>
          <w:rFonts w:ascii="Calibri" w:hAnsi="Calibri" w:cs="Calibri"/>
        </w:rPr>
        <w:t xml:space="preserve">, </w:t>
      </w:r>
      <w:r w:rsidRPr="003528E2">
        <w:rPr>
          <w:rFonts w:ascii="Calibri" w:hAnsi="Calibri" w:cs="Calibri"/>
          <w:i/>
          <w:iCs/>
        </w:rPr>
        <w:t>58</w:t>
      </w:r>
      <w:r w:rsidRPr="003528E2">
        <w:rPr>
          <w:rFonts w:ascii="Calibri" w:hAnsi="Calibri" w:cs="Calibri"/>
        </w:rPr>
        <w:t xml:space="preserve">(B), 362-372. </w:t>
      </w:r>
      <w:hyperlink r:id="rId15" w:tgtFrame="_blank" w:history="1">
        <w:r w:rsidRPr="003528E2">
          <w:rPr>
            <w:rStyle w:val="Hyperlink"/>
            <w:rFonts w:ascii="Calibri" w:hAnsi="Calibri" w:cs="Calibri"/>
          </w:rPr>
          <w:t>https://doi.org/10.1016/j.jmsy.2020.08.009</w:t>
        </w:r>
      </w:hyperlink>
    </w:p>
    <w:p w14:paraId="6E43BE38" w14:textId="77777777" w:rsidR="003921E4" w:rsidRPr="003528E2" w:rsidRDefault="003921E4" w:rsidP="003921E4">
      <w:pPr>
        <w:rPr>
          <w:rFonts w:ascii="Calibri" w:hAnsi="Calibri" w:cs="Calibri"/>
        </w:rPr>
      </w:pPr>
      <w:r w:rsidRPr="003528E2">
        <w:rPr>
          <w:rFonts w:ascii="Calibri" w:hAnsi="Calibri" w:cs="Calibri"/>
        </w:rPr>
        <w:t xml:space="preserve">Hayes, A. F. (2018). </w:t>
      </w:r>
      <w:r w:rsidRPr="003528E2">
        <w:rPr>
          <w:rFonts w:ascii="Calibri" w:hAnsi="Calibri" w:cs="Calibri"/>
          <w:i/>
          <w:iCs/>
        </w:rPr>
        <w:t>Introduction to mediation, moderation, and conditional process analysis: A regression-based approach</w:t>
      </w:r>
      <w:r w:rsidRPr="003528E2">
        <w:rPr>
          <w:rFonts w:ascii="Calibri" w:hAnsi="Calibri" w:cs="Calibri"/>
        </w:rPr>
        <w:t xml:space="preserve"> (2nd ed.). Guilford Press.</w:t>
      </w:r>
    </w:p>
    <w:p w14:paraId="37E558F0" w14:textId="77777777" w:rsidR="003921E4" w:rsidRPr="008264A2" w:rsidRDefault="003921E4" w:rsidP="003921E4">
      <w:r w:rsidRPr="008264A2">
        <w:t xml:space="preserve">Hermanto, I. R., Widyarini, L. A., &amp; Darma, D. C. (2024). </w:t>
      </w:r>
      <w:r w:rsidRPr="008264A2">
        <w:rPr>
          <w:i/>
          <w:iCs/>
        </w:rPr>
        <w:t>Digitalization impact on sustainable firm performance of small, medium, and large businesses.</w:t>
      </w:r>
      <w:r w:rsidRPr="008264A2">
        <w:t xml:space="preserve"> Virtual Economics, 7(1), 7–27. https://doi.org/10.34021/ve.2024.07.01(1)</w:t>
      </w:r>
    </w:p>
    <w:p w14:paraId="7491CCEB" w14:textId="77777777" w:rsidR="003921E4" w:rsidRPr="003528E2" w:rsidRDefault="003921E4" w:rsidP="003921E4">
      <w:pPr>
        <w:rPr>
          <w:rFonts w:ascii="Calibri" w:hAnsi="Calibri" w:cs="Calibri"/>
        </w:rPr>
      </w:pPr>
      <w:r w:rsidRPr="003528E2">
        <w:rPr>
          <w:rFonts w:ascii="Calibri" w:hAnsi="Calibri" w:cs="Calibri"/>
        </w:rPr>
        <w:t xml:space="preserve">Hu, L. T., &amp; Bentler, P. M. (1999). Cutoff criteria for fit indexes in covariance structure analysis: Conventional criteria versus new alternatives. </w:t>
      </w:r>
      <w:r w:rsidRPr="003528E2">
        <w:rPr>
          <w:rFonts w:ascii="Calibri" w:hAnsi="Calibri" w:cs="Calibri"/>
          <w:i/>
          <w:iCs/>
        </w:rPr>
        <w:t>Structural Equation Modeling</w:t>
      </w:r>
      <w:r w:rsidRPr="003528E2">
        <w:rPr>
          <w:rFonts w:ascii="Calibri" w:hAnsi="Calibri" w:cs="Calibri"/>
        </w:rPr>
        <w:t xml:space="preserve">, </w:t>
      </w:r>
      <w:r w:rsidRPr="003528E2">
        <w:rPr>
          <w:rFonts w:ascii="Calibri" w:hAnsi="Calibri" w:cs="Calibri"/>
          <w:i/>
          <w:iCs/>
        </w:rPr>
        <w:t>6</w:t>
      </w:r>
      <w:r w:rsidRPr="003528E2">
        <w:rPr>
          <w:rFonts w:ascii="Calibri" w:hAnsi="Calibri" w:cs="Calibri"/>
        </w:rPr>
        <w:t xml:space="preserve">(1), 1-55. </w:t>
      </w:r>
      <w:hyperlink r:id="rId16" w:tgtFrame="_blank" w:history="1">
        <w:r w:rsidRPr="003528E2">
          <w:rPr>
            <w:rStyle w:val="Hyperlink"/>
            <w:rFonts w:ascii="Calibri" w:hAnsi="Calibri" w:cs="Calibri"/>
          </w:rPr>
          <w:t>https://doi.org/10.1080/10705519909540118</w:t>
        </w:r>
      </w:hyperlink>
    </w:p>
    <w:p w14:paraId="186F5C7E" w14:textId="77777777" w:rsidR="003921E4" w:rsidRPr="003528E2" w:rsidRDefault="003921E4" w:rsidP="003921E4">
      <w:pPr>
        <w:rPr>
          <w:rFonts w:ascii="Calibri" w:hAnsi="Calibri" w:cs="Calibri"/>
        </w:rPr>
      </w:pPr>
      <w:r w:rsidRPr="003528E2">
        <w:rPr>
          <w:rFonts w:ascii="Calibri" w:hAnsi="Calibri" w:cs="Calibri"/>
        </w:rPr>
        <w:t xml:space="preserve">Jakarta Provincial Office of Cooperatives &amp; SMEs. (2023). </w:t>
      </w:r>
      <w:r w:rsidRPr="003528E2">
        <w:rPr>
          <w:rFonts w:ascii="Calibri" w:hAnsi="Calibri" w:cs="Calibri"/>
          <w:i/>
          <w:iCs/>
        </w:rPr>
        <w:t>Jakarta ICT and SME digital readiness survey 2023</w:t>
      </w:r>
      <w:r w:rsidRPr="003528E2">
        <w:rPr>
          <w:rFonts w:ascii="Calibri" w:hAnsi="Calibri" w:cs="Calibri"/>
        </w:rPr>
        <w:t xml:space="preserve">. </w:t>
      </w:r>
      <w:hyperlink r:id="rId17" w:tgtFrame="_blank" w:history="1">
        <w:r w:rsidRPr="003528E2">
          <w:rPr>
            <w:rStyle w:val="Hyperlink"/>
            <w:rFonts w:ascii="Calibri" w:hAnsi="Calibri" w:cs="Calibri"/>
          </w:rPr>
          <w:t>https://diskukm.jakarta.go.id/survey/2023</w:t>
        </w:r>
      </w:hyperlink>
    </w:p>
    <w:p w14:paraId="033C10D7" w14:textId="77777777" w:rsidR="003921E4" w:rsidRPr="003528E2" w:rsidRDefault="003921E4" w:rsidP="003921E4">
      <w:pPr>
        <w:rPr>
          <w:rFonts w:ascii="Calibri" w:hAnsi="Calibri" w:cs="Calibri"/>
        </w:rPr>
      </w:pPr>
      <w:r w:rsidRPr="003528E2">
        <w:rPr>
          <w:rFonts w:ascii="Calibri" w:hAnsi="Calibri" w:cs="Calibri"/>
        </w:rPr>
        <w:t xml:space="preserve">Krejcie, R. V., &amp; Morgan, D. W. (1970). Determining sample size for research activities. </w:t>
      </w:r>
      <w:r w:rsidRPr="003528E2">
        <w:rPr>
          <w:rFonts w:ascii="Calibri" w:hAnsi="Calibri" w:cs="Calibri"/>
          <w:i/>
          <w:iCs/>
        </w:rPr>
        <w:t>Educational and Psychological Measurement</w:t>
      </w:r>
      <w:r w:rsidRPr="003528E2">
        <w:rPr>
          <w:rFonts w:ascii="Calibri" w:hAnsi="Calibri" w:cs="Calibri"/>
        </w:rPr>
        <w:t xml:space="preserve">, </w:t>
      </w:r>
      <w:r w:rsidRPr="003528E2">
        <w:rPr>
          <w:rFonts w:ascii="Calibri" w:hAnsi="Calibri" w:cs="Calibri"/>
          <w:i/>
          <w:iCs/>
        </w:rPr>
        <w:t>30</w:t>
      </w:r>
      <w:r w:rsidRPr="003528E2">
        <w:rPr>
          <w:rFonts w:ascii="Calibri" w:hAnsi="Calibri" w:cs="Calibri"/>
        </w:rPr>
        <w:t xml:space="preserve">(3), 607-610. </w:t>
      </w:r>
      <w:hyperlink r:id="rId18" w:tgtFrame="_blank" w:history="1">
        <w:r w:rsidRPr="003528E2">
          <w:rPr>
            <w:rStyle w:val="Hyperlink"/>
            <w:rFonts w:ascii="Calibri" w:hAnsi="Calibri" w:cs="Calibri"/>
          </w:rPr>
          <w:t>https://doi.org/10.1177/001316447003000308</w:t>
        </w:r>
      </w:hyperlink>
    </w:p>
    <w:p w14:paraId="325EAB06" w14:textId="77777777" w:rsidR="003921E4" w:rsidRPr="003528E2" w:rsidRDefault="003921E4" w:rsidP="003921E4">
      <w:pPr>
        <w:rPr>
          <w:rFonts w:ascii="Calibri" w:hAnsi="Calibri" w:cs="Calibri"/>
        </w:rPr>
      </w:pPr>
      <w:r w:rsidRPr="003528E2">
        <w:rPr>
          <w:rFonts w:ascii="Calibri" w:hAnsi="Calibri" w:cs="Calibri"/>
        </w:rPr>
        <w:t xml:space="preserve">Liang, H., Saraf, N., Hu, Q., &amp; Xue, Y. (2022). Assimilation of enterprise systems: The effect of institutional pressures and the mediating role of top management. </w:t>
      </w:r>
      <w:r w:rsidRPr="003528E2">
        <w:rPr>
          <w:rFonts w:ascii="Calibri" w:hAnsi="Calibri" w:cs="Calibri"/>
          <w:i/>
          <w:iCs/>
        </w:rPr>
        <w:t>MIS Quarterly</w:t>
      </w:r>
      <w:r w:rsidRPr="003528E2">
        <w:rPr>
          <w:rFonts w:ascii="Calibri" w:hAnsi="Calibri" w:cs="Calibri"/>
        </w:rPr>
        <w:t xml:space="preserve">, </w:t>
      </w:r>
      <w:r w:rsidRPr="003528E2">
        <w:rPr>
          <w:rFonts w:ascii="Calibri" w:hAnsi="Calibri" w:cs="Calibri"/>
          <w:i/>
          <w:iCs/>
        </w:rPr>
        <w:t>46</w:t>
      </w:r>
      <w:r w:rsidRPr="003528E2">
        <w:rPr>
          <w:rFonts w:ascii="Calibri" w:hAnsi="Calibri" w:cs="Calibri"/>
        </w:rPr>
        <w:t xml:space="preserve">(2), 611-642. </w:t>
      </w:r>
      <w:hyperlink r:id="rId19" w:tgtFrame="_blank" w:history="1">
        <w:r w:rsidRPr="003528E2">
          <w:rPr>
            <w:rStyle w:val="Hyperlink"/>
            <w:rFonts w:ascii="Calibri" w:hAnsi="Calibri" w:cs="Calibri"/>
          </w:rPr>
          <w:t>https://doi.org/10.25300/MISQ/2022/16371</w:t>
        </w:r>
      </w:hyperlink>
    </w:p>
    <w:p w14:paraId="74D3D162" w14:textId="77777777" w:rsidR="003921E4" w:rsidRPr="008264A2" w:rsidRDefault="003921E4" w:rsidP="003921E4">
      <w:r w:rsidRPr="008264A2">
        <w:t xml:space="preserve">Li, L., Su, F., Zhang, W., &amp; Mao, J.-Y. (2018). </w:t>
      </w:r>
      <w:r w:rsidRPr="008264A2">
        <w:rPr>
          <w:i/>
          <w:iCs/>
        </w:rPr>
        <w:t>Digital transformation by SME entrepreneurs: A capability perspective.</w:t>
      </w:r>
      <w:r w:rsidRPr="008264A2">
        <w:t xml:space="preserve"> Information Systems Journal, 28(6), 1129–1157. https://doi.org/10.1111/isj.12153</w:t>
      </w:r>
    </w:p>
    <w:p w14:paraId="7D148306" w14:textId="77777777" w:rsidR="003921E4" w:rsidRPr="003528E2" w:rsidRDefault="003921E4" w:rsidP="003921E4">
      <w:pPr>
        <w:shd w:val="clear" w:color="auto" w:fill="FFFFFF"/>
        <w:spacing w:line="240" w:lineRule="auto"/>
        <w:textAlignment w:val="baseline"/>
        <w:rPr>
          <w:rFonts w:ascii="Calibri" w:hAnsi="Calibri" w:cs="Calibri"/>
        </w:rPr>
      </w:pPr>
      <w:r w:rsidRPr="003528E2">
        <w:rPr>
          <w:rFonts w:ascii="Calibri" w:hAnsi="Calibri" w:cs="Calibri"/>
        </w:rPr>
        <w:t xml:space="preserve">Liputan6.com. (2024). </w:t>
      </w:r>
      <w:r w:rsidRPr="003528E2">
        <w:rPr>
          <w:rStyle w:val="Emphasis"/>
          <w:rFonts w:ascii="Calibri" w:hAnsi="Calibri" w:cs="Calibri"/>
          <w:bdr w:val="none" w:sz="0" w:space="0" w:color="auto" w:frame="1"/>
        </w:rPr>
        <w:t>Apa itu pendekatan cross-sectional: Pahami kelebihan dan kekurangannya</w:t>
      </w:r>
      <w:r w:rsidRPr="003528E2">
        <w:rPr>
          <w:rFonts w:ascii="Calibri" w:hAnsi="Calibri" w:cs="Calibri"/>
        </w:rPr>
        <w:t xml:space="preserve">. </w:t>
      </w:r>
      <w:hyperlink r:id="rId20" w:tgtFrame="_blank" w:history="1">
        <w:r w:rsidRPr="003528E2">
          <w:rPr>
            <w:rStyle w:val="Hyperlink"/>
            <w:rFonts w:ascii="Calibri" w:hAnsi="Calibri" w:cs="Calibri"/>
            <w:color w:val="1783FF"/>
            <w:bdr w:val="none" w:sz="0" w:space="0" w:color="auto" w:frame="1"/>
          </w:rPr>
          <w:t>https://www.liputan6.com/feeds/read/5784019/apa-itu-pendekatan-cross-sectional-pahami-kelebihan-dan-kekurangannya</w:t>
        </w:r>
      </w:hyperlink>
    </w:p>
    <w:p w14:paraId="16F38913" w14:textId="77777777" w:rsidR="003921E4" w:rsidRPr="003528E2" w:rsidRDefault="003921E4" w:rsidP="003921E4">
      <w:pPr>
        <w:rPr>
          <w:rFonts w:ascii="Calibri" w:hAnsi="Calibri" w:cs="Calibri"/>
        </w:rPr>
      </w:pPr>
      <w:r w:rsidRPr="003528E2">
        <w:rPr>
          <w:rFonts w:ascii="Calibri" w:hAnsi="Calibri" w:cs="Calibri"/>
        </w:rPr>
        <w:t xml:space="preserve">Nunnally, J. C., &amp; Bernstein, I. H. (1994). </w:t>
      </w:r>
      <w:r w:rsidRPr="003528E2">
        <w:rPr>
          <w:rFonts w:ascii="Calibri" w:hAnsi="Calibri" w:cs="Calibri"/>
          <w:i/>
          <w:iCs/>
        </w:rPr>
        <w:t>Psychometric theory</w:t>
      </w:r>
      <w:r w:rsidRPr="003528E2">
        <w:rPr>
          <w:rFonts w:ascii="Calibri" w:hAnsi="Calibri" w:cs="Calibri"/>
        </w:rPr>
        <w:t xml:space="preserve"> (3rd ed.). McGraw-Hill.</w:t>
      </w:r>
    </w:p>
    <w:p w14:paraId="17DE562D" w14:textId="77777777" w:rsidR="003921E4" w:rsidRPr="003528E2" w:rsidRDefault="003921E4" w:rsidP="003921E4">
      <w:pPr>
        <w:rPr>
          <w:rFonts w:ascii="Calibri" w:hAnsi="Calibri" w:cs="Calibri"/>
        </w:rPr>
      </w:pPr>
      <w:r w:rsidRPr="003528E2">
        <w:rPr>
          <w:rFonts w:ascii="Calibri" w:hAnsi="Calibri" w:cs="Calibri"/>
        </w:rPr>
        <w:t xml:space="preserve">OECD. (2021). Artificial intelligence and SMEs: Opportunities and challenges (OECD Digital Economy Papers No. 306). </w:t>
      </w:r>
      <w:hyperlink r:id="rId21" w:tgtFrame="_blank" w:history="1">
        <w:r w:rsidRPr="003528E2">
          <w:rPr>
            <w:rStyle w:val="Hyperlink"/>
            <w:rFonts w:ascii="Calibri" w:hAnsi="Calibri" w:cs="Calibri"/>
          </w:rPr>
          <w:t>https://doi.org/10.1787/75a7655a-en</w:t>
        </w:r>
      </w:hyperlink>
    </w:p>
    <w:p w14:paraId="479CBFA2" w14:textId="77777777" w:rsidR="003921E4" w:rsidRPr="001D7090" w:rsidRDefault="003921E4" w:rsidP="003921E4">
      <w:r w:rsidRPr="001D7090">
        <w:t xml:space="preserve">OECD. (2021). </w:t>
      </w:r>
      <w:r w:rsidRPr="001D7090">
        <w:rPr>
          <w:i/>
          <w:iCs/>
        </w:rPr>
        <w:t>The digital transformation of SMEs.</w:t>
      </w:r>
      <w:r w:rsidRPr="001D7090">
        <w:t xml:space="preserve"> OECD Publishing. </w:t>
      </w:r>
      <w:hyperlink r:id="rId22" w:tgtFrame="_new" w:history="1">
        <w:r w:rsidRPr="001D7090">
          <w:rPr>
            <w:rStyle w:val="Hyperlink"/>
          </w:rPr>
          <w:t>https://www.oecd.org/content/dam/oecd/en/publications/reports/2021/02/the-digital-transformation-of-smes_ec3163f5/bdb9256a-en.pdf</w:t>
        </w:r>
      </w:hyperlink>
    </w:p>
    <w:p w14:paraId="63708809" w14:textId="77777777" w:rsidR="003921E4" w:rsidRPr="003528E2" w:rsidRDefault="003921E4" w:rsidP="003921E4">
      <w:pPr>
        <w:rPr>
          <w:rFonts w:ascii="Calibri" w:hAnsi="Calibri" w:cs="Calibri"/>
        </w:rPr>
      </w:pPr>
      <w:r w:rsidRPr="003528E2">
        <w:rPr>
          <w:rFonts w:ascii="Calibri" w:hAnsi="Calibri" w:cs="Calibri"/>
        </w:rPr>
        <w:t xml:space="preserve">OECD. (2022). The digitalisation of SMEs: Findings from the 2022 OECD survey. In </w:t>
      </w:r>
      <w:r w:rsidRPr="003528E2">
        <w:rPr>
          <w:rFonts w:ascii="Calibri" w:hAnsi="Calibri" w:cs="Calibri"/>
          <w:i/>
          <w:iCs/>
        </w:rPr>
        <w:t>OECD Science, Technology and Innovation Outlook 2022</w:t>
      </w:r>
      <w:r w:rsidRPr="003528E2">
        <w:rPr>
          <w:rFonts w:ascii="Calibri" w:hAnsi="Calibri" w:cs="Calibri"/>
        </w:rPr>
        <w:t xml:space="preserve">. OECD Publishing. </w:t>
      </w:r>
      <w:hyperlink r:id="rId23" w:tgtFrame="_blank" w:history="1">
        <w:r w:rsidRPr="003528E2">
          <w:rPr>
            <w:rStyle w:val="Hyperlink"/>
            <w:rFonts w:ascii="Calibri" w:hAnsi="Calibri" w:cs="Calibri"/>
          </w:rPr>
          <w:t>https://doi.org/10.1787/5a766c55-en</w:t>
        </w:r>
      </w:hyperlink>
    </w:p>
    <w:p w14:paraId="6F1FA778" w14:textId="77777777" w:rsidR="003921E4" w:rsidRPr="003528E2" w:rsidRDefault="003921E4" w:rsidP="003921E4">
      <w:pPr>
        <w:shd w:val="clear" w:color="auto" w:fill="FFFFFF"/>
        <w:spacing w:line="240" w:lineRule="auto"/>
        <w:textAlignment w:val="baseline"/>
        <w:rPr>
          <w:rFonts w:ascii="Calibri" w:hAnsi="Calibri" w:cs="Calibri"/>
        </w:rPr>
      </w:pPr>
      <w:r w:rsidRPr="003528E2">
        <w:rPr>
          <w:rFonts w:ascii="Calibri" w:hAnsi="Calibri" w:cs="Calibri"/>
        </w:rPr>
        <w:t xml:space="preserve">OECD. (2022). The 2022 OECD survey. In </w:t>
      </w:r>
      <w:r w:rsidRPr="003528E2">
        <w:rPr>
          <w:rStyle w:val="Emphasis"/>
          <w:rFonts w:ascii="Calibri" w:hAnsi="Calibri" w:cs="Calibri"/>
          <w:bdr w:val="none" w:sz="0" w:space="0" w:color="auto" w:frame="1"/>
        </w:rPr>
        <w:t>OECD Science, Technology and Innovation Outlook 2022</w:t>
      </w:r>
      <w:r w:rsidRPr="003528E2">
        <w:rPr>
          <w:rFonts w:ascii="Calibri" w:hAnsi="Calibri" w:cs="Calibri"/>
        </w:rPr>
        <w:t xml:space="preserve">. OECD Publishing. </w:t>
      </w:r>
      <w:hyperlink r:id="rId24" w:tgtFrame="_blank" w:history="1">
        <w:r w:rsidRPr="003528E2">
          <w:rPr>
            <w:rStyle w:val="Hyperlink"/>
            <w:rFonts w:ascii="Calibri" w:hAnsi="Calibri" w:cs="Calibri"/>
            <w:color w:val="1783FF"/>
            <w:bdr w:val="none" w:sz="0" w:space="0" w:color="auto" w:frame="1"/>
          </w:rPr>
          <w:t>https://doi.org/10.1787/5a766c55-en</w:t>
        </w:r>
      </w:hyperlink>
    </w:p>
    <w:p w14:paraId="2C689D82" w14:textId="77777777" w:rsidR="003921E4" w:rsidRPr="003528E2" w:rsidRDefault="003921E4" w:rsidP="003921E4">
      <w:pPr>
        <w:rPr>
          <w:rFonts w:ascii="Calibri" w:hAnsi="Calibri" w:cs="Calibri"/>
        </w:rPr>
      </w:pPr>
      <w:r w:rsidRPr="003528E2">
        <w:rPr>
          <w:rFonts w:ascii="Calibri" w:hAnsi="Calibri" w:cs="Calibri"/>
        </w:rPr>
        <w:lastRenderedPageBreak/>
        <w:t xml:space="preserve">Podsakoff, P. M., MacKenzie, S. B., Lee, J. Y., &amp; Podsakoff, N. P. (2003). Common method biases in behavioral research: A critical review of the literature and recommended remedies. </w:t>
      </w:r>
      <w:r w:rsidRPr="003528E2">
        <w:rPr>
          <w:rFonts w:ascii="Calibri" w:hAnsi="Calibri" w:cs="Calibri"/>
          <w:i/>
          <w:iCs/>
        </w:rPr>
        <w:t>Journal of Applied Psychology</w:t>
      </w:r>
      <w:r w:rsidRPr="003528E2">
        <w:rPr>
          <w:rFonts w:ascii="Calibri" w:hAnsi="Calibri" w:cs="Calibri"/>
        </w:rPr>
        <w:t xml:space="preserve">, </w:t>
      </w:r>
      <w:r w:rsidRPr="003528E2">
        <w:rPr>
          <w:rFonts w:ascii="Calibri" w:hAnsi="Calibri" w:cs="Calibri"/>
          <w:i/>
          <w:iCs/>
        </w:rPr>
        <w:t>88</w:t>
      </w:r>
      <w:r w:rsidRPr="003528E2">
        <w:rPr>
          <w:rFonts w:ascii="Calibri" w:hAnsi="Calibri" w:cs="Calibri"/>
        </w:rPr>
        <w:t xml:space="preserve">(5), 879-903. </w:t>
      </w:r>
      <w:hyperlink r:id="rId25" w:tgtFrame="_blank" w:history="1">
        <w:r w:rsidRPr="003528E2">
          <w:rPr>
            <w:rStyle w:val="Hyperlink"/>
            <w:rFonts w:ascii="Calibri" w:hAnsi="Calibri" w:cs="Calibri"/>
          </w:rPr>
          <w:t>https://doi.org/10.1037/0021-9010.88.5.879</w:t>
        </w:r>
      </w:hyperlink>
    </w:p>
    <w:p w14:paraId="446F41E5" w14:textId="77777777" w:rsidR="003921E4" w:rsidRPr="003528E2" w:rsidRDefault="003921E4" w:rsidP="003921E4">
      <w:pPr>
        <w:rPr>
          <w:rFonts w:ascii="Calibri" w:hAnsi="Calibri" w:cs="Calibri"/>
        </w:rPr>
      </w:pPr>
      <w:r w:rsidRPr="003528E2">
        <w:rPr>
          <w:rFonts w:ascii="Calibri" w:hAnsi="Calibri" w:cs="Calibri"/>
        </w:rPr>
        <w:t xml:space="preserve">UNCTAD. (2021). </w:t>
      </w:r>
      <w:r w:rsidRPr="003528E2">
        <w:rPr>
          <w:rFonts w:ascii="Calibri" w:hAnsi="Calibri" w:cs="Calibri"/>
          <w:i/>
          <w:iCs/>
        </w:rPr>
        <w:t>Technology and innovation report 2021: Catching technological waves</w:t>
      </w:r>
      <w:r w:rsidRPr="003528E2">
        <w:rPr>
          <w:rFonts w:ascii="Calibri" w:hAnsi="Calibri" w:cs="Calibri"/>
        </w:rPr>
        <w:t xml:space="preserve">. United Nations. </w:t>
      </w:r>
      <w:hyperlink r:id="rId26" w:tgtFrame="_blank" w:history="1">
        <w:r w:rsidRPr="003528E2">
          <w:rPr>
            <w:rStyle w:val="Hyperlink"/>
            <w:rFonts w:ascii="Calibri" w:hAnsi="Calibri" w:cs="Calibri"/>
          </w:rPr>
          <w:t>https://unctad.org/webflyer/technology-and-in</w:t>
        </w:r>
        <w:r w:rsidRPr="003528E2">
          <w:rPr>
            <w:rStyle w:val="Hyperlink"/>
            <w:rFonts w:ascii="Calibri" w:hAnsi="Calibri" w:cs="Calibri"/>
          </w:rPr>
          <w:t>n</w:t>
        </w:r>
        <w:r w:rsidRPr="003528E2">
          <w:rPr>
            <w:rStyle w:val="Hyperlink"/>
            <w:rFonts w:ascii="Calibri" w:hAnsi="Calibri" w:cs="Calibri"/>
          </w:rPr>
          <w:t>ovation-report-2021</w:t>
        </w:r>
      </w:hyperlink>
    </w:p>
    <w:p w14:paraId="7B3FB479" w14:textId="77777777" w:rsidR="003921E4" w:rsidRPr="003528E2" w:rsidRDefault="003921E4" w:rsidP="003921E4">
      <w:pPr>
        <w:rPr>
          <w:rFonts w:ascii="Calibri" w:hAnsi="Calibri" w:cs="Calibri"/>
        </w:rPr>
      </w:pPr>
      <w:r w:rsidRPr="003528E2">
        <w:rPr>
          <w:rFonts w:ascii="Calibri" w:hAnsi="Calibri" w:cs="Calibri"/>
        </w:rPr>
        <w:t>UU Republik Indonesia Nomor 20 Tahun 2008 tentang Usaha Mikro, Kecil, dan Menengah</w:t>
      </w:r>
    </w:p>
    <w:p w14:paraId="55FB6E55" w14:textId="77777777" w:rsidR="003921E4" w:rsidRPr="00056296" w:rsidRDefault="003921E4" w:rsidP="003921E4">
      <w:r w:rsidRPr="003528E2">
        <w:rPr>
          <w:rFonts w:ascii="Calibri" w:hAnsi="Calibri" w:cs="Calibri"/>
        </w:rPr>
        <w:t xml:space="preserve">Venkatesh, V. (2022). Adoption and use of AI tools: A research agenda grounded in UTAUT. </w:t>
      </w:r>
      <w:r w:rsidRPr="003528E2">
        <w:rPr>
          <w:rFonts w:ascii="Calibri" w:hAnsi="Calibri" w:cs="Calibri"/>
          <w:i/>
          <w:iCs/>
        </w:rPr>
        <w:t>Annals of Operations</w:t>
      </w:r>
      <w:r w:rsidRPr="00056296">
        <w:rPr>
          <w:i/>
          <w:iCs/>
        </w:rPr>
        <w:t xml:space="preserve"> Research</w:t>
      </w:r>
      <w:r w:rsidRPr="00056296">
        <w:t xml:space="preserve">, </w:t>
      </w:r>
      <w:r w:rsidRPr="00056296">
        <w:rPr>
          <w:i/>
          <w:iCs/>
        </w:rPr>
        <w:t>308</w:t>
      </w:r>
      <w:r w:rsidRPr="00056296">
        <w:t xml:space="preserve">, 641-652. </w:t>
      </w:r>
      <w:hyperlink r:id="rId27" w:tgtFrame="_blank" w:history="1">
        <w:r w:rsidRPr="00056296">
          <w:rPr>
            <w:rStyle w:val="Hyperlink"/>
          </w:rPr>
          <w:t>https://doi.org/10.1007/s10479-020-03918-9</w:t>
        </w:r>
      </w:hyperlink>
    </w:p>
    <w:p w14:paraId="29C48DC5" w14:textId="77777777" w:rsidR="003921E4" w:rsidRPr="008264A2" w:rsidRDefault="003921E4" w:rsidP="003921E4">
      <w:r w:rsidRPr="008264A2">
        <w:t xml:space="preserve">Wang, S., &amp; Zhang, H. (2025). </w:t>
      </w:r>
      <w:r w:rsidRPr="008264A2">
        <w:rPr>
          <w:i/>
          <w:iCs/>
        </w:rPr>
        <w:t>Digital transformation and innovation performance in small- and medium-sized enterprises: A systems perspective on the interplay of digital adoption, digital drive, and digital culture.</w:t>
      </w:r>
      <w:r w:rsidRPr="008264A2">
        <w:t xml:space="preserve"> Systems, 13(1), 43. https://doi.org/10.3390/systems13010043</w:t>
      </w:r>
    </w:p>
    <w:p w14:paraId="747F7EB4" w14:textId="77777777" w:rsidR="003921E4" w:rsidRPr="008264A2" w:rsidRDefault="003921E4" w:rsidP="003921E4">
      <w:r w:rsidRPr="008264A2">
        <w:t xml:space="preserve">Zhao, Z., Hönigsberg, S., &amp; Mandviwalla, M. (2025). </w:t>
      </w:r>
      <w:r w:rsidRPr="008264A2">
        <w:rPr>
          <w:i/>
          <w:iCs/>
        </w:rPr>
        <w:t>Digital driven success: The digitalization effect on SME performance.</w:t>
      </w:r>
      <w:r w:rsidRPr="008264A2">
        <w:t xml:space="preserve"> Information Technology for Development. Advance online publication. https://doi.org/10.1080/02681102.2025.2453213</w:t>
      </w:r>
    </w:p>
    <w:p w14:paraId="3742423B" w14:textId="77777777" w:rsidR="003921E4" w:rsidRPr="00BB6193" w:rsidRDefault="003921E4" w:rsidP="00BB6193">
      <w:pPr>
        <w:jc w:val="both"/>
        <w:rPr>
          <w:b/>
          <w:bCs/>
        </w:rPr>
      </w:pPr>
    </w:p>
    <w:sectPr w:rsidR="003921E4" w:rsidRPr="00BB61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40DE8"/>
    <w:multiLevelType w:val="hybridMultilevel"/>
    <w:tmpl w:val="5B9CFF44"/>
    <w:lvl w:ilvl="0" w:tplc="C0D41968">
      <w:numFmt w:val="bullet"/>
      <w:lvlText w:val="•"/>
      <w:lvlJc w:val="left"/>
      <w:pPr>
        <w:ind w:left="720" w:hanging="360"/>
      </w:pPr>
      <w:rPr>
        <w:rFonts w:ascii="Calibri" w:eastAsiaTheme="minorEastAsia"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1FD3103C"/>
    <w:multiLevelType w:val="hybridMultilevel"/>
    <w:tmpl w:val="2C505F62"/>
    <w:lvl w:ilvl="0" w:tplc="C0D41968">
      <w:numFmt w:val="bullet"/>
      <w:lvlText w:val="•"/>
      <w:lvlJc w:val="left"/>
      <w:pPr>
        <w:ind w:left="720" w:hanging="360"/>
      </w:pPr>
      <w:rPr>
        <w:rFonts w:ascii="Calibri" w:eastAsiaTheme="minorEastAsia"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21DB01D0"/>
    <w:multiLevelType w:val="hybridMultilevel"/>
    <w:tmpl w:val="6D9ED854"/>
    <w:lvl w:ilvl="0" w:tplc="C0D41968">
      <w:numFmt w:val="bullet"/>
      <w:lvlText w:val="•"/>
      <w:lvlJc w:val="left"/>
      <w:pPr>
        <w:ind w:left="720" w:hanging="360"/>
      </w:pPr>
      <w:rPr>
        <w:rFonts w:ascii="Calibri" w:eastAsiaTheme="minorEastAsia"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47AF5AFA"/>
    <w:multiLevelType w:val="hybridMultilevel"/>
    <w:tmpl w:val="DC8EB13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4F1928CE"/>
    <w:multiLevelType w:val="hybridMultilevel"/>
    <w:tmpl w:val="42540086"/>
    <w:lvl w:ilvl="0" w:tplc="C0D41968">
      <w:numFmt w:val="bullet"/>
      <w:lvlText w:val="•"/>
      <w:lvlJc w:val="left"/>
      <w:pPr>
        <w:ind w:left="720" w:hanging="360"/>
      </w:pPr>
      <w:rPr>
        <w:rFonts w:ascii="Calibri" w:eastAsiaTheme="minorEastAsia"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5ED72AFF"/>
    <w:multiLevelType w:val="hybridMultilevel"/>
    <w:tmpl w:val="8A16E0EC"/>
    <w:lvl w:ilvl="0" w:tplc="C0D41968">
      <w:numFmt w:val="bullet"/>
      <w:lvlText w:val="•"/>
      <w:lvlJc w:val="left"/>
      <w:pPr>
        <w:ind w:left="720" w:hanging="360"/>
      </w:pPr>
      <w:rPr>
        <w:rFonts w:ascii="Calibri" w:eastAsiaTheme="minorEastAsia"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65640C2E"/>
    <w:multiLevelType w:val="hybridMultilevel"/>
    <w:tmpl w:val="F0A20186"/>
    <w:lvl w:ilvl="0" w:tplc="C0D41968">
      <w:numFmt w:val="bullet"/>
      <w:lvlText w:val="•"/>
      <w:lvlJc w:val="left"/>
      <w:pPr>
        <w:ind w:left="720" w:hanging="360"/>
      </w:pPr>
      <w:rPr>
        <w:rFonts w:ascii="Calibri" w:eastAsiaTheme="minorEastAsia"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16cid:durableId="468089211">
    <w:abstractNumId w:val="3"/>
  </w:num>
  <w:num w:numId="2" w16cid:durableId="871458534">
    <w:abstractNumId w:val="1"/>
  </w:num>
  <w:num w:numId="3" w16cid:durableId="538711126">
    <w:abstractNumId w:val="6"/>
  </w:num>
  <w:num w:numId="4" w16cid:durableId="621497584">
    <w:abstractNumId w:val="5"/>
  </w:num>
  <w:num w:numId="5" w16cid:durableId="276103935">
    <w:abstractNumId w:val="2"/>
  </w:num>
  <w:num w:numId="6" w16cid:durableId="1091437925">
    <w:abstractNumId w:val="0"/>
  </w:num>
  <w:num w:numId="7" w16cid:durableId="12739796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2DC"/>
    <w:rsid w:val="00281C88"/>
    <w:rsid w:val="002E615B"/>
    <w:rsid w:val="003921E4"/>
    <w:rsid w:val="005C5C85"/>
    <w:rsid w:val="007F3810"/>
    <w:rsid w:val="009F63FE"/>
    <w:rsid w:val="00B00D5D"/>
    <w:rsid w:val="00BB6193"/>
    <w:rsid w:val="00C15D73"/>
    <w:rsid w:val="00C932DC"/>
    <w:rsid w:val="00E94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BFE1A"/>
  <w15:chartTrackingRefBased/>
  <w15:docId w15:val="{16E47451-2E43-491F-8C19-CE70F13DE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2DC"/>
    <w:rPr>
      <w:lang w:val="id-ID"/>
    </w:rPr>
  </w:style>
  <w:style w:type="paragraph" w:styleId="Heading1">
    <w:name w:val="heading 1"/>
    <w:basedOn w:val="Normal"/>
    <w:next w:val="Normal"/>
    <w:link w:val="Heading1Char"/>
    <w:uiPriority w:val="9"/>
    <w:qFormat/>
    <w:rsid w:val="00C932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32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32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32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32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32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2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2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2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2DC"/>
    <w:rPr>
      <w:rFonts w:asciiTheme="majorHAnsi" w:eastAsiaTheme="majorEastAsia" w:hAnsiTheme="majorHAnsi" w:cstheme="majorBidi"/>
      <w:color w:val="2F5496" w:themeColor="accent1" w:themeShade="BF"/>
      <w:sz w:val="40"/>
      <w:szCs w:val="40"/>
      <w:lang w:val="id-ID"/>
    </w:rPr>
  </w:style>
  <w:style w:type="character" w:customStyle="1" w:styleId="Heading2Char">
    <w:name w:val="Heading 2 Char"/>
    <w:basedOn w:val="DefaultParagraphFont"/>
    <w:link w:val="Heading2"/>
    <w:uiPriority w:val="9"/>
    <w:semiHidden/>
    <w:rsid w:val="00C932DC"/>
    <w:rPr>
      <w:rFonts w:asciiTheme="majorHAnsi" w:eastAsiaTheme="majorEastAsia" w:hAnsiTheme="majorHAnsi" w:cstheme="majorBidi"/>
      <w:color w:val="2F5496" w:themeColor="accent1" w:themeShade="BF"/>
      <w:sz w:val="32"/>
      <w:szCs w:val="32"/>
      <w:lang w:val="id-ID"/>
    </w:rPr>
  </w:style>
  <w:style w:type="character" w:customStyle="1" w:styleId="Heading3Char">
    <w:name w:val="Heading 3 Char"/>
    <w:basedOn w:val="DefaultParagraphFont"/>
    <w:link w:val="Heading3"/>
    <w:uiPriority w:val="9"/>
    <w:semiHidden/>
    <w:rsid w:val="00C932DC"/>
    <w:rPr>
      <w:rFonts w:eastAsiaTheme="majorEastAsia" w:cstheme="majorBidi"/>
      <w:color w:val="2F5496" w:themeColor="accent1" w:themeShade="BF"/>
      <w:sz w:val="28"/>
      <w:szCs w:val="28"/>
      <w:lang w:val="id-ID"/>
    </w:rPr>
  </w:style>
  <w:style w:type="character" w:customStyle="1" w:styleId="Heading4Char">
    <w:name w:val="Heading 4 Char"/>
    <w:basedOn w:val="DefaultParagraphFont"/>
    <w:link w:val="Heading4"/>
    <w:uiPriority w:val="9"/>
    <w:semiHidden/>
    <w:rsid w:val="00C932DC"/>
    <w:rPr>
      <w:rFonts w:eastAsiaTheme="majorEastAsia" w:cstheme="majorBidi"/>
      <w:i/>
      <w:iCs/>
      <w:color w:val="2F5496" w:themeColor="accent1" w:themeShade="BF"/>
      <w:lang w:val="id-ID"/>
    </w:rPr>
  </w:style>
  <w:style w:type="character" w:customStyle="1" w:styleId="Heading5Char">
    <w:name w:val="Heading 5 Char"/>
    <w:basedOn w:val="DefaultParagraphFont"/>
    <w:link w:val="Heading5"/>
    <w:uiPriority w:val="9"/>
    <w:semiHidden/>
    <w:rsid w:val="00C932DC"/>
    <w:rPr>
      <w:rFonts w:eastAsiaTheme="majorEastAsia" w:cstheme="majorBidi"/>
      <w:color w:val="2F5496" w:themeColor="accent1" w:themeShade="BF"/>
      <w:lang w:val="id-ID"/>
    </w:rPr>
  </w:style>
  <w:style w:type="character" w:customStyle="1" w:styleId="Heading6Char">
    <w:name w:val="Heading 6 Char"/>
    <w:basedOn w:val="DefaultParagraphFont"/>
    <w:link w:val="Heading6"/>
    <w:uiPriority w:val="9"/>
    <w:semiHidden/>
    <w:rsid w:val="00C932DC"/>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C932DC"/>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C932DC"/>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C932DC"/>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C932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2DC"/>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C932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2DC"/>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C932DC"/>
    <w:pPr>
      <w:spacing w:before="160"/>
      <w:jc w:val="center"/>
    </w:pPr>
    <w:rPr>
      <w:i/>
      <w:iCs/>
      <w:color w:val="404040" w:themeColor="text1" w:themeTint="BF"/>
    </w:rPr>
  </w:style>
  <w:style w:type="character" w:customStyle="1" w:styleId="QuoteChar">
    <w:name w:val="Quote Char"/>
    <w:basedOn w:val="DefaultParagraphFont"/>
    <w:link w:val="Quote"/>
    <w:uiPriority w:val="29"/>
    <w:rsid w:val="00C932DC"/>
    <w:rPr>
      <w:i/>
      <w:iCs/>
      <w:color w:val="404040" w:themeColor="text1" w:themeTint="BF"/>
      <w:lang w:val="id-ID"/>
    </w:rPr>
  </w:style>
  <w:style w:type="paragraph" w:styleId="ListParagraph">
    <w:name w:val="List Paragraph"/>
    <w:basedOn w:val="Normal"/>
    <w:uiPriority w:val="34"/>
    <w:qFormat/>
    <w:rsid w:val="00C932DC"/>
    <w:pPr>
      <w:ind w:left="720"/>
      <w:contextualSpacing/>
    </w:pPr>
  </w:style>
  <w:style w:type="character" w:styleId="IntenseEmphasis">
    <w:name w:val="Intense Emphasis"/>
    <w:basedOn w:val="DefaultParagraphFont"/>
    <w:uiPriority w:val="21"/>
    <w:qFormat/>
    <w:rsid w:val="00C932DC"/>
    <w:rPr>
      <w:i/>
      <w:iCs/>
      <w:color w:val="2F5496" w:themeColor="accent1" w:themeShade="BF"/>
    </w:rPr>
  </w:style>
  <w:style w:type="paragraph" w:styleId="IntenseQuote">
    <w:name w:val="Intense Quote"/>
    <w:basedOn w:val="Normal"/>
    <w:next w:val="Normal"/>
    <w:link w:val="IntenseQuoteChar"/>
    <w:uiPriority w:val="30"/>
    <w:qFormat/>
    <w:rsid w:val="00C932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32DC"/>
    <w:rPr>
      <w:i/>
      <w:iCs/>
      <w:color w:val="2F5496" w:themeColor="accent1" w:themeShade="BF"/>
      <w:lang w:val="id-ID"/>
    </w:rPr>
  </w:style>
  <w:style w:type="character" w:styleId="IntenseReference">
    <w:name w:val="Intense Reference"/>
    <w:basedOn w:val="DefaultParagraphFont"/>
    <w:uiPriority w:val="32"/>
    <w:qFormat/>
    <w:rsid w:val="00C932DC"/>
    <w:rPr>
      <w:b/>
      <w:bCs/>
      <w:smallCaps/>
      <w:color w:val="2F5496" w:themeColor="accent1" w:themeShade="BF"/>
      <w:spacing w:val="5"/>
    </w:rPr>
  </w:style>
  <w:style w:type="character" w:styleId="Hyperlink">
    <w:name w:val="Hyperlink"/>
    <w:basedOn w:val="DefaultParagraphFont"/>
    <w:uiPriority w:val="99"/>
    <w:unhideWhenUsed/>
    <w:rsid w:val="00C932DC"/>
    <w:rPr>
      <w:color w:val="0563C1" w:themeColor="hyperlink"/>
      <w:u w:val="single"/>
    </w:rPr>
  </w:style>
  <w:style w:type="character" w:styleId="UnresolvedMention">
    <w:name w:val="Unresolved Mention"/>
    <w:basedOn w:val="DefaultParagraphFont"/>
    <w:uiPriority w:val="99"/>
    <w:semiHidden/>
    <w:unhideWhenUsed/>
    <w:rsid w:val="00C932DC"/>
    <w:rPr>
      <w:color w:val="605E5C"/>
      <w:shd w:val="clear" w:color="auto" w:fill="E1DFDD"/>
    </w:rPr>
  </w:style>
  <w:style w:type="character" w:styleId="Emphasis">
    <w:name w:val="Emphasis"/>
    <w:basedOn w:val="DefaultParagraphFont"/>
    <w:uiPriority w:val="20"/>
    <w:qFormat/>
    <w:rsid w:val="003921E4"/>
    <w:rPr>
      <w:i/>
      <w:iCs/>
    </w:rPr>
  </w:style>
  <w:style w:type="character" w:styleId="FollowedHyperlink">
    <w:name w:val="FollowedHyperlink"/>
    <w:basedOn w:val="DefaultParagraphFont"/>
    <w:uiPriority w:val="99"/>
    <w:semiHidden/>
    <w:unhideWhenUsed/>
    <w:rsid w:val="003921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14920639101700108" TargetMode="External"/><Relationship Id="rId13" Type="http://schemas.openxmlformats.org/officeDocument/2006/relationships/hyperlink" Target="https://doi.org/10.2307/249689" TargetMode="External"/><Relationship Id="rId18" Type="http://schemas.openxmlformats.org/officeDocument/2006/relationships/hyperlink" Target="https://doi.org/10.1177/001316447003000308" TargetMode="External"/><Relationship Id="rId26" Type="http://schemas.openxmlformats.org/officeDocument/2006/relationships/hyperlink" Target="https://unctad.org/webflyer/technology-and-innovation-report-2021" TargetMode="External"/><Relationship Id="rId3" Type="http://schemas.openxmlformats.org/officeDocument/2006/relationships/settings" Target="settings.xml"/><Relationship Id="rId21" Type="http://schemas.openxmlformats.org/officeDocument/2006/relationships/hyperlink" Target="https://doi.org/10.1787/75a7655a-en" TargetMode="External"/><Relationship Id="rId7" Type="http://schemas.openxmlformats.org/officeDocument/2006/relationships/hyperlink" Target="https://doi.org/10.3390/su16051864" TargetMode="External"/><Relationship Id="rId12" Type="http://schemas.openxmlformats.org/officeDocument/2006/relationships/hyperlink" Target="https://doi.org/10.1016/j.ijinfomgt.2023.102642" TargetMode="External"/><Relationship Id="rId17" Type="http://schemas.openxmlformats.org/officeDocument/2006/relationships/hyperlink" Target="https://diskukm.jakarta.go.id/survey/2023" TargetMode="External"/><Relationship Id="rId25" Type="http://schemas.openxmlformats.org/officeDocument/2006/relationships/hyperlink" Target="https://doi.org/10.1037/0021-9010.88.5.879" TargetMode="External"/><Relationship Id="rId2" Type="http://schemas.openxmlformats.org/officeDocument/2006/relationships/styles" Target="styles.xml"/><Relationship Id="rId16" Type="http://schemas.openxmlformats.org/officeDocument/2006/relationships/hyperlink" Target="https://doi.org/10.1080/10705519909540118" TargetMode="External"/><Relationship Id="rId20" Type="http://schemas.openxmlformats.org/officeDocument/2006/relationships/hyperlink" Target="https://www.liputan6.com/feeds/read/5784019/apa-itu-pendekatan-cross-sectional-pahami-kelebihan-dan-kekurangannya"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oxfordinsights.com/wp-content/uploads/2023/12/2023-Government-AI-Readiness-Index-1.pdf?utm_source=chatgpt.com" TargetMode="External"/><Relationship Id="rId11" Type="http://schemas.openxmlformats.org/officeDocument/2006/relationships/hyperlink" Target="https://doi.org/10.1016/j.ijinfomgt.2019.01.021" TargetMode="External"/><Relationship Id="rId24" Type="http://schemas.openxmlformats.org/officeDocument/2006/relationships/hyperlink" Target="https://doi.org/10.1787/5a766c55-en" TargetMode="External"/><Relationship Id="rId5" Type="http://schemas.openxmlformats.org/officeDocument/2006/relationships/hyperlink" Target="https://asean.org/asean-ai-readiness-index-2023" TargetMode="External"/><Relationship Id="rId15" Type="http://schemas.openxmlformats.org/officeDocument/2006/relationships/hyperlink" Target="https://doi.org/10.1016/j.jmsy.2020.08.009" TargetMode="External"/><Relationship Id="rId23" Type="http://schemas.openxmlformats.org/officeDocument/2006/relationships/hyperlink" Target="https://doi.org/10.1787/5a766c55-en" TargetMode="External"/><Relationship Id="rId28" Type="http://schemas.openxmlformats.org/officeDocument/2006/relationships/fontTable" Target="fontTable.xml"/><Relationship Id="rId10" Type="http://schemas.openxmlformats.org/officeDocument/2006/relationships/hyperlink" Target="https://doi.org/10.2307/249008" TargetMode="External"/><Relationship Id="rId19" Type="http://schemas.openxmlformats.org/officeDocument/2006/relationships/hyperlink" Target="https://doi.org/10.25300/MISQ/2022/16371" TargetMode="External"/><Relationship Id="rId4" Type="http://schemas.openxmlformats.org/officeDocument/2006/relationships/webSettings" Target="webSettings.xml"/><Relationship Id="rId9" Type="http://schemas.openxmlformats.org/officeDocument/2006/relationships/hyperlink" Target="https://jakarta.bps.go.id/" TargetMode="External"/><Relationship Id="rId14" Type="http://schemas.openxmlformats.org/officeDocument/2006/relationships/hyperlink" Target="https://doi.org/10.4324/9780429203374" TargetMode="External"/><Relationship Id="rId22" Type="http://schemas.openxmlformats.org/officeDocument/2006/relationships/hyperlink" Target="https://www.oecd.org/content/dam/oecd/en/publications/reports/2021/02/the-digital-transformation-of-smes_ec3163f5/bdb9256a-en.pdf?utm_source=chatgpt.com" TargetMode="External"/><Relationship Id="rId27" Type="http://schemas.openxmlformats.org/officeDocument/2006/relationships/hyperlink" Target="https://doi.org/10.1007/s10479-020-0391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14</Pages>
  <Words>5791</Words>
  <Characters>33014</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 Setiawan Solichin</dc:creator>
  <cp:keywords/>
  <dc:description/>
  <cp:lastModifiedBy>Sigit Setiawan Solichin</cp:lastModifiedBy>
  <cp:revision>2</cp:revision>
  <dcterms:created xsi:type="dcterms:W3CDTF">2025-09-28T13:30:00Z</dcterms:created>
  <dcterms:modified xsi:type="dcterms:W3CDTF">2025-09-28T14:20:00Z</dcterms:modified>
</cp:coreProperties>
</file>